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B939A8">
      <w:pPr>
        <w:spacing w:line="560" w:lineRule="exact"/>
        <w:rPr>
          <w:rFonts w:ascii="TimesNewRoman" w:hAnsi="TimesNewRoman" w:eastAsia="黑体" w:cs="TimesNewRoman"/>
          <w:szCs w:val="32"/>
        </w:rPr>
      </w:pPr>
      <w:r>
        <w:rPr>
          <w:rFonts w:hint="eastAsia" w:ascii="TimesNewRoman" w:hAnsi="TimesNewRoman" w:eastAsia="黑体" w:cs="TimesNewRoman"/>
          <w:szCs w:val="32"/>
        </w:rPr>
        <w:t>附件1-1</w:t>
      </w:r>
    </w:p>
    <w:p w14:paraId="2D1DAD6B"/>
    <w:p w14:paraId="08A38830"/>
    <w:p w14:paraId="67BAC0B4"/>
    <w:p w14:paraId="618EF424"/>
    <w:p w14:paraId="621D34C7"/>
    <w:p w14:paraId="259ADC80"/>
    <w:p w14:paraId="4D6AA9F8"/>
    <w:p w14:paraId="51C14EAE"/>
    <w:p w14:paraId="3585B8F8">
      <w:pPr>
        <w:spacing w:line="560" w:lineRule="exact"/>
        <w:jc w:val="center"/>
        <w:rPr>
          <w:rFonts w:hint="eastAsia" w:ascii="华文中宋" w:hAnsi="华文中宋" w:eastAsia="华文中宋" w:cs="华文中宋"/>
          <w:b/>
          <w:sz w:val="44"/>
          <w:szCs w:val="44"/>
          <w:lang w:val="en-US" w:eastAsia="zh-CN"/>
        </w:rPr>
      </w:pPr>
      <w:r>
        <w:rPr>
          <w:rFonts w:hint="eastAsia" w:ascii="华文中宋" w:hAnsi="华文中宋" w:eastAsia="华文中宋" w:cs="华文中宋"/>
          <w:b/>
          <w:sz w:val="44"/>
          <w:szCs w:val="44"/>
        </w:rPr>
        <w:t>淮北市科学技术协会</w:t>
      </w:r>
      <w:r>
        <w:rPr>
          <w:rFonts w:hint="eastAsia" w:ascii="华文中宋" w:hAnsi="华文中宋" w:eastAsia="华文中宋" w:cs="华文中宋"/>
          <w:b/>
          <w:sz w:val="44"/>
          <w:szCs w:val="44"/>
          <w:lang w:val="en-US" w:eastAsia="zh-CN"/>
        </w:rPr>
        <w:t>(</w:t>
      </w:r>
      <w:r>
        <w:rPr>
          <w:rFonts w:hint="eastAsia" w:ascii="华文中宋" w:hAnsi="华文中宋" w:eastAsia="华文中宋" w:cs="华文中宋"/>
          <w:b/>
          <w:sz w:val="44"/>
          <w:szCs w:val="44"/>
        </w:rPr>
        <w:t>本级</w:t>
      </w:r>
      <w:r>
        <w:rPr>
          <w:rFonts w:hint="eastAsia" w:ascii="华文中宋" w:hAnsi="华文中宋" w:eastAsia="华文中宋" w:cs="华文中宋"/>
          <w:b/>
          <w:sz w:val="44"/>
          <w:szCs w:val="44"/>
          <w:lang w:val="en-US" w:eastAsia="zh-CN"/>
        </w:rPr>
        <w:t>)</w:t>
      </w:r>
    </w:p>
    <w:p w14:paraId="6BF60A1F">
      <w:pPr>
        <w:spacing w:line="560" w:lineRule="exact"/>
        <w:jc w:val="center"/>
        <w:rPr>
          <w:rFonts w:ascii="TimesNewRoman" w:hAnsi="TimesNewRoman" w:eastAsia="华文中宋" w:cs="TimesNewRoman"/>
          <w:b/>
          <w:sz w:val="44"/>
          <w:szCs w:val="44"/>
        </w:rPr>
      </w:pPr>
      <w:r>
        <w:rPr>
          <w:rFonts w:hint="eastAsia" w:ascii="TimesNewRoman" w:hAnsi="TimesNewRoman" w:eastAsia="华文中宋" w:cs="TimesNewRoman"/>
          <w:b/>
          <w:sz w:val="44"/>
          <w:szCs w:val="44"/>
        </w:rPr>
        <w:t>2025年单位预算</w:t>
      </w:r>
    </w:p>
    <w:p w14:paraId="7F3487F1"/>
    <w:p w14:paraId="06E87B6C"/>
    <w:p w14:paraId="0ED2A7B1"/>
    <w:p w14:paraId="2272DE71"/>
    <w:p w14:paraId="1F4773DB"/>
    <w:p w14:paraId="28C81C39"/>
    <w:p w14:paraId="0D4A612A"/>
    <w:p w14:paraId="7D7B4A88"/>
    <w:p w14:paraId="357783B6"/>
    <w:p w14:paraId="6C53859A"/>
    <w:p w14:paraId="207B9A6F"/>
    <w:p w14:paraId="65E3E9BD"/>
    <w:p w14:paraId="6E862A11"/>
    <w:p w14:paraId="3E4B94F0"/>
    <w:p w14:paraId="32A30CE6"/>
    <w:p w14:paraId="055B1ECA"/>
    <w:p w14:paraId="034EBF7E"/>
    <w:p w14:paraId="56BD56DD"/>
    <w:p w14:paraId="7F39E9A2"/>
    <w:p w14:paraId="7C8614B7"/>
    <w:p w14:paraId="327B1CAF"/>
    <w:p w14:paraId="45497BA1"/>
    <w:p w14:paraId="252E7E2C">
      <w:pPr>
        <w:pStyle w:val="5"/>
        <w:adjustRightInd w:val="0"/>
        <w:snapToGrid w:val="0"/>
        <w:spacing w:line="560" w:lineRule="exact"/>
        <w:jc w:val="center"/>
        <w:rPr>
          <w:rFonts w:ascii="TimesNewRoman" w:hAnsi="TimesNewRoman" w:eastAsia="黑体" w:cs="TimesNewRoman"/>
          <w:bCs/>
          <w:sz w:val="44"/>
          <w:szCs w:val="44"/>
        </w:rPr>
      </w:pPr>
    </w:p>
    <w:p w14:paraId="3EB99D96">
      <w:pPr>
        <w:pStyle w:val="5"/>
        <w:adjustRightInd w:val="0"/>
        <w:snapToGrid w:val="0"/>
        <w:spacing w:line="560" w:lineRule="exact"/>
        <w:jc w:val="center"/>
        <w:rPr>
          <w:rFonts w:ascii="TimesNewRoman" w:hAnsi="TimesNewRoman" w:eastAsia="黑体" w:cs="TimesNewRoman"/>
          <w:bCs/>
          <w:sz w:val="44"/>
          <w:szCs w:val="44"/>
        </w:rPr>
      </w:pPr>
      <w:r>
        <w:rPr>
          <w:rFonts w:hint="eastAsia" w:ascii="TimesNewRoman" w:hAnsi="TimesNewRoman" w:eastAsia="黑体" w:cs="TimesNewRoman"/>
          <w:bCs/>
          <w:sz w:val="44"/>
          <w:szCs w:val="44"/>
        </w:rPr>
        <w:t>2025年</w:t>
      </w:r>
      <w:r>
        <w:rPr>
          <w:rFonts w:hint="eastAsia" w:ascii="TimesNewRoman" w:hAnsi="TimesNewRoman" w:eastAsia="黑体" w:cs="TimesNewRoman"/>
          <w:bCs/>
          <w:sz w:val="44"/>
          <w:szCs w:val="44"/>
          <w:lang w:val="en-US" w:eastAsia="zh-CN"/>
        </w:rPr>
        <w:t>2</w:t>
      </w:r>
      <w:r>
        <w:rPr>
          <w:rFonts w:hint="eastAsia" w:ascii="TimesNewRoman" w:hAnsi="TimesNewRoman" w:eastAsia="黑体" w:cs="TimesNewRoman"/>
          <w:bCs/>
          <w:sz w:val="44"/>
          <w:szCs w:val="44"/>
        </w:rPr>
        <w:t>月</w:t>
      </w:r>
    </w:p>
    <w:p w14:paraId="517179F7"/>
    <w:p w14:paraId="71D07BAC"/>
    <w:p w14:paraId="2B39E6D4">
      <w:pPr>
        <w:pStyle w:val="5"/>
        <w:adjustRightInd w:val="0"/>
        <w:snapToGrid w:val="0"/>
        <w:spacing w:line="560" w:lineRule="exact"/>
        <w:jc w:val="center"/>
        <w:rPr>
          <w:rFonts w:ascii="TimesNewRoman" w:hAnsi="TimesNewRoman" w:eastAsia="黑体" w:cs="TimesNewRoman"/>
          <w:bCs/>
          <w:sz w:val="44"/>
          <w:szCs w:val="44"/>
        </w:rPr>
      </w:pPr>
      <w:r>
        <w:rPr>
          <w:rFonts w:hint="eastAsia" w:ascii="TimesNewRoman" w:hAnsi="TimesNewRoman" w:eastAsia="黑体" w:cs="TimesNewRoman"/>
          <w:bCs/>
          <w:sz w:val="44"/>
          <w:szCs w:val="44"/>
        </w:rPr>
        <w:t>目  录</w:t>
      </w:r>
    </w:p>
    <w:p w14:paraId="473A1520"/>
    <w:p w14:paraId="641CF476">
      <w:pPr>
        <w:pStyle w:val="5"/>
        <w:adjustRightInd w:val="0"/>
        <w:snapToGrid w:val="0"/>
        <w:spacing w:line="40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 xml:space="preserve">第一部分 </w:t>
      </w:r>
      <w:r>
        <w:rPr>
          <w:rFonts w:hint="eastAsia" w:ascii="TimesNewRoman" w:hAnsi="TimesNewRoman" w:eastAsia="仿宋_GB2312" w:cs="TimesNewRoman"/>
          <w:b/>
          <w:sz w:val="32"/>
          <w:szCs w:val="32"/>
          <w:lang w:eastAsia="zh-CN"/>
        </w:rPr>
        <w:t>单位</w:t>
      </w:r>
      <w:r>
        <w:rPr>
          <w:rFonts w:hint="eastAsia" w:ascii="TimesNewRoman" w:hAnsi="TimesNewRoman" w:eastAsia="仿宋_GB2312" w:cs="TimesNewRoman"/>
          <w:b/>
          <w:sz w:val="32"/>
          <w:szCs w:val="32"/>
        </w:rPr>
        <w:t>概况</w:t>
      </w:r>
    </w:p>
    <w:p w14:paraId="0F8E4D63">
      <w:pPr>
        <w:pStyle w:val="5"/>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1、主要职责</w:t>
      </w:r>
    </w:p>
    <w:p w14:paraId="6328BA70">
      <w:pPr>
        <w:pStyle w:val="5"/>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2、</w:t>
      </w:r>
      <w:r>
        <w:rPr>
          <w:rFonts w:hint="eastAsia" w:ascii="TimesNewRoman" w:hAnsi="TimesNewRoman" w:eastAsia="仿宋_GB2312" w:cs="TimesNewRoman"/>
          <w:bCs/>
          <w:sz w:val="32"/>
          <w:szCs w:val="32"/>
          <w:lang w:eastAsia="zh-CN"/>
        </w:rPr>
        <w:t>单位</w:t>
      </w:r>
      <w:r>
        <w:rPr>
          <w:rFonts w:hint="eastAsia" w:ascii="TimesNewRoman" w:hAnsi="TimesNewRoman" w:eastAsia="仿宋_GB2312" w:cs="TimesNewRoman"/>
          <w:bCs/>
          <w:sz w:val="32"/>
          <w:szCs w:val="32"/>
        </w:rPr>
        <w:t>预算构成</w:t>
      </w:r>
    </w:p>
    <w:p w14:paraId="59FE85E8">
      <w:pPr>
        <w:pStyle w:val="5"/>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3 、2025年度主要工作任务</w:t>
      </w:r>
    </w:p>
    <w:p w14:paraId="10C69BFF">
      <w:pPr>
        <w:pStyle w:val="5"/>
        <w:adjustRightInd w:val="0"/>
        <w:snapToGrid w:val="0"/>
        <w:spacing w:line="40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第二部分 2025年</w:t>
      </w:r>
      <w:r>
        <w:rPr>
          <w:rFonts w:hint="eastAsia" w:ascii="TimesNewRoman" w:hAnsi="TimesNewRoman" w:eastAsia="仿宋_GB2312" w:cs="TimesNewRoman"/>
          <w:b/>
          <w:sz w:val="32"/>
          <w:szCs w:val="32"/>
          <w:lang w:eastAsia="zh-CN"/>
        </w:rPr>
        <w:t>单位</w:t>
      </w:r>
      <w:r>
        <w:rPr>
          <w:rFonts w:hint="eastAsia" w:ascii="TimesNewRoman" w:hAnsi="TimesNewRoman" w:eastAsia="仿宋_GB2312" w:cs="TimesNewRoman"/>
          <w:b/>
          <w:sz w:val="32"/>
          <w:szCs w:val="32"/>
        </w:rPr>
        <w:t>预算表</w:t>
      </w:r>
    </w:p>
    <w:p w14:paraId="78FD8616">
      <w:pPr>
        <w:pStyle w:val="5"/>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1、</w:t>
      </w:r>
      <w:r>
        <w:rPr>
          <w:rFonts w:hint="eastAsia" w:ascii="TimesNewRoman" w:hAnsi="TimesNewRoman" w:eastAsia="仿宋_GB2312" w:cs="TimesNewRoman"/>
          <w:bCs/>
          <w:sz w:val="32"/>
          <w:szCs w:val="32"/>
          <w:lang w:eastAsia="zh-CN"/>
        </w:rPr>
        <w:t>淮北市科学技术协会（本级）</w:t>
      </w:r>
      <w:r>
        <w:rPr>
          <w:rFonts w:hint="eastAsia" w:ascii="TimesNewRoman" w:hAnsi="TimesNewRoman" w:eastAsia="仿宋_GB2312" w:cs="TimesNewRoman"/>
          <w:bCs/>
          <w:sz w:val="32"/>
          <w:szCs w:val="32"/>
        </w:rPr>
        <w:t>2025年收支总表</w:t>
      </w:r>
    </w:p>
    <w:p w14:paraId="5F61A5A1">
      <w:pPr>
        <w:pStyle w:val="5"/>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2、</w:t>
      </w:r>
      <w:r>
        <w:rPr>
          <w:rFonts w:hint="eastAsia" w:ascii="TimesNewRoman" w:hAnsi="TimesNewRoman" w:eastAsia="仿宋_GB2312" w:cs="TimesNewRoman"/>
          <w:bCs/>
          <w:sz w:val="32"/>
          <w:szCs w:val="32"/>
          <w:lang w:eastAsia="zh-CN"/>
        </w:rPr>
        <w:t>淮北市科学技术协会（本级）</w:t>
      </w:r>
      <w:r>
        <w:rPr>
          <w:rFonts w:hint="eastAsia" w:ascii="TimesNewRoman" w:hAnsi="TimesNewRoman" w:eastAsia="仿宋_GB2312" w:cs="TimesNewRoman"/>
          <w:bCs/>
          <w:sz w:val="32"/>
          <w:szCs w:val="32"/>
        </w:rPr>
        <w:t>2025年收入总表</w:t>
      </w:r>
    </w:p>
    <w:p w14:paraId="15212A0A">
      <w:pPr>
        <w:pStyle w:val="5"/>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3、</w:t>
      </w:r>
      <w:r>
        <w:rPr>
          <w:rFonts w:hint="eastAsia" w:ascii="TimesNewRoman" w:hAnsi="TimesNewRoman" w:eastAsia="仿宋_GB2312" w:cs="TimesNewRoman"/>
          <w:bCs/>
          <w:sz w:val="32"/>
          <w:szCs w:val="32"/>
          <w:lang w:eastAsia="zh-CN"/>
        </w:rPr>
        <w:t>淮北市科学技术协会（本级）</w:t>
      </w:r>
      <w:r>
        <w:rPr>
          <w:rFonts w:hint="eastAsia" w:ascii="TimesNewRoman" w:hAnsi="TimesNewRoman" w:eastAsia="仿宋_GB2312" w:cs="TimesNewRoman"/>
          <w:bCs/>
          <w:sz w:val="32"/>
          <w:szCs w:val="32"/>
        </w:rPr>
        <w:t>2025年支出总表</w:t>
      </w:r>
    </w:p>
    <w:p w14:paraId="0258183D">
      <w:pPr>
        <w:pStyle w:val="5"/>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4、</w:t>
      </w:r>
      <w:r>
        <w:rPr>
          <w:rFonts w:hint="eastAsia" w:ascii="TimesNewRoman" w:hAnsi="TimesNewRoman" w:eastAsia="仿宋_GB2312" w:cs="TimesNewRoman"/>
          <w:bCs/>
          <w:sz w:val="32"/>
          <w:szCs w:val="32"/>
          <w:lang w:eastAsia="zh-CN"/>
        </w:rPr>
        <w:t>淮北市科学技术协会（本级）</w:t>
      </w:r>
      <w:r>
        <w:rPr>
          <w:rFonts w:hint="eastAsia" w:ascii="TimesNewRoman" w:hAnsi="TimesNewRoman" w:eastAsia="仿宋_GB2312" w:cs="TimesNewRoman"/>
          <w:bCs/>
          <w:sz w:val="32"/>
          <w:szCs w:val="32"/>
        </w:rPr>
        <w:t>2025年财政拨款收支总表</w:t>
      </w:r>
    </w:p>
    <w:p w14:paraId="6DAE2249">
      <w:pPr>
        <w:pStyle w:val="5"/>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5、</w:t>
      </w:r>
      <w:r>
        <w:rPr>
          <w:rFonts w:hint="eastAsia" w:ascii="TimesNewRoman" w:hAnsi="TimesNewRoman" w:eastAsia="仿宋_GB2312" w:cs="TimesNewRoman"/>
          <w:bCs/>
          <w:sz w:val="32"/>
          <w:szCs w:val="32"/>
          <w:lang w:eastAsia="zh-CN"/>
        </w:rPr>
        <w:t>淮北市科学技术协会（本级）</w:t>
      </w:r>
      <w:r>
        <w:rPr>
          <w:rFonts w:hint="eastAsia" w:ascii="TimesNewRoman" w:hAnsi="TimesNewRoman" w:eastAsia="仿宋_GB2312" w:cs="TimesNewRoman"/>
          <w:bCs/>
          <w:sz w:val="32"/>
          <w:szCs w:val="32"/>
        </w:rPr>
        <w:t>2025年一般公共预算支出表</w:t>
      </w:r>
    </w:p>
    <w:p w14:paraId="7C95B869">
      <w:pPr>
        <w:pStyle w:val="5"/>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6、</w:t>
      </w:r>
      <w:r>
        <w:rPr>
          <w:rFonts w:hint="eastAsia" w:ascii="TimesNewRoman" w:hAnsi="TimesNewRoman" w:eastAsia="仿宋_GB2312" w:cs="TimesNewRoman"/>
          <w:bCs/>
          <w:sz w:val="32"/>
          <w:szCs w:val="32"/>
          <w:lang w:eastAsia="zh-CN"/>
        </w:rPr>
        <w:t>淮北市科学技术协会（本级）</w:t>
      </w:r>
      <w:r>
        <w:rPr>
          <w:rFonts w:hint="eastAsia" w:ascii="TimesNewRoman" w:hAnsi="TimesNewRoman" w:eastAsia="仿宋_GB2312" w:cs="TimesNewRoman"/>
          <w:bCs/>
          <w:sz w:val="32"/>
          <w:szCs w:val="32"/>
        </w:rPr>
        <w:t>2025年一般公共预算基本支出表</w:t>
      </w:r>
    </w:p>
    <w:p w14:paraId="3B4412CC">
      <w:pPr>
        <w:pStyle w:val="5"/>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7、</w:t>
      </w:r>
      <w:r>
        <w:rPr>
          <w:rFonts w:hint="eastAsia" w:ascii="TimesNewRoman" w:hAnsi="TimesNewRoman" w:eastAsia="仿宋_GB2312" w:cs="TimesNewRoman"/>
          <w:bCs/>
          <w:sz w:val="32"/>
          <w:szCs w:val="32"/>
          <w:lang w:eastAsia="zh-CN"/>
        </w:rPr>
        <w:t>淮北市科学技术协会（本级）</w:t>
      </w:r>
      <w:r>
        <w:rPr>
          <w:rFonts w:hint="eastAsia" w:ascii="TimesNewRoman" w:hAnsi="TimesNewRoman" w:eastAsia="仿宋_GB2312" w:cs="TimesNewRoman"/>
          <w:bCs/>
          <w:sz w:val="32"/>
          <w:szCs w:val="32"/>
        </w:rPr>
        <w:t>2025年政府性基金预算支出表</w:t>
      </w:r>
    </w:p>
    <w:p w14:paraId="5EE26B56">
      <w:pPr>
        <w:pStyle w:val="5"/>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8、</w:t>
      </w:r>
      <w:r>
        <w:rPr>
          <w:rFonts w:hint="eastAsia" w:ascii="TimesNewRoman" w:hAnsi="TimesNewRoman" w:eastAsia="仿宋_GB2312" w:cs="TimesNewRoman"/>
          <w:bCs/>
          <w:sz w:val="32"/>
          <w:szCs w:val="32"/>
          <w:lang w:eastAsia="zh-CN"/>
        </w:rPr>
        <w:t>淮北市科学技术协会（本级）</w:t>
      </w:r>
      <w:r>
        <w:rPr>
          <w:rFonts w:hint="eastAsia" w:ascii="TimesNewRoman" w:hAnsi="TimesNewRoman" w:eastAsia="仿宋_GB2312" w:cs="TimesNewRoman"/>
          <w:bCs/>
          <w:sz w:val="32"/>
          <w:szCs w:val="32"/>
        </w:rPr>
        <w:t>2025年国有资本经营预算支出表</w:t>
      </w:r>
    </w:p>
    <w:p w14:paraId="2E4E85F0">
      <w:pPr>
        <w:pStyle w:val="5"/>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9、</w:t>
      </w:r>
      <w:r>
        <w:rPr>
          <w:rFonts w:hint="eastAsia" w:ascii="TimesNewRoman" w:hAnsi="TimesNewRoman" w:eastAsia="仿宋_GB2312" w:cs="TimesNewRoman"/>
          <w:bCs/>
          <w:sz w:val="32"/>
          <w:szCs w:val="32"/>
          <w:lang w:eastAsia="zh-CN"/>
        </w:rPr>
        <w:t>淮北市科学技术协会（本级）</w:t>
      </w:r>
      <w:r>
        <w:rPr>
          <w:rFonts w:hint="eastAsia" w:ascii="TimesNewRoman" w:hAnsi="TimesNewRoman" w:eastAsia="仿宋_GB2312" w:cs="TimesNewRoman"/>
          <w:bCs/>
          <w:sz w:val="32"/>
          <w:szCs w:val="32"/>
        </w:rPr>
        <w:t>2025年项目支出表</w:t>
      </w:r>
    </w:p>
    <w:p w14:paraId="760EEE5A">
      <w:pPr>
        <w:pStyle w:val="5"/>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10、</w:t>
      </w:r>
      <w:r>
        <w:rPr>
          <w:rFonts w:hint="eastAsia" w:ascii="TimesNewRoman" w:hAnsi="TimesNewRoman" w:eastAsia="仿宋_GB2312" w:cs="TimesNewRoman"/>
          <w:bCs/>
          <w:sz w:val="32"/>
          <w:szCs w:val="32"/>
          <w:lang w:eastAsia="zh-CN"/>
        </w:rPr>
        <w:t>淮北市科学技术协会（本级）</w:t>
      </w:r>
      <w:r>
        <w:rPr>
          <w:rFonts w:hint="eastAsia" w:ascii="TimesNewRoman" w:hAnsi="TimesNewRoman" w:eastAsia="仿宋_GB2312" w:cs="TimesNewRoman"/>
          <w:bCs/>
          <w:sz w:val="32"/>
          <w:szCs w:val="32"/>
        </w:rPr>
        <w:t>2025年政府采购支出表</w:t>
      </w:r>
    </w:p>
    <w:p w14:paraId="7AF38AD8">
      <w:pPr>
        <w:pStyle w:val="5"/>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11、</w:t>
      </w:r>
      <w:r>
        <w:rPr>
          <w:rFonts w:hint="eastAsia" w:ascii="TimesNewRoman" w:hAnsi="TimesNewRoman" w:eastAsia="仿宋_GB2312" w:cs="TimesNewRoman"/>
          <w:bCs/>
          <w:sz w:val="32"/>
          <w:szCs w:val="32"/>
          <w:lang w:eastAsia="zh-CN"/>
        </w:rPr>
        <w:t>淮北市科学技术协会（本级）</w:t>
      </w:r>
      <w:r>
        <w:rPr>
          <w:rFonts w:hint="eastAsia" w:ascii="TimesNewRoman" w:hAnsi="TimesNewRoman" w:eastAsia="仿宋_GB2312" w:cs="TimesNewRoman"/>
          <w:bCs/>
          <w:sz w:val="32"/>
          <w:szCs w:val="32"/>
        </w:rPr>
        <w:t>2025年政府购买服务支出表</w:t>
      </w:r>
    </w:p>
    <w:p w14:paraId="3C6C1112">
      <w:pPr>
        <w:pStyle w:val="5"/>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12、</w:t>
      </w:r>
      <w:r>
        <w:rPr>
          <w:rFonts w:hint="eastAsia" w:ascii="TimesNewRoman" w:hAnsi="TimesNewRoman" w:eastAsia="仿宋_GB2312" w:cs="TimesNewRoman"/>
          <w:bCs/>
          <w:sz w:val="32"/>
          <w:szCs w:val="32"/>
          <w:lang w:eastAsia="zh-CN"/>
        </w:rPr>
        <w:t>淮北市科学技术协会（本级）</w:t>
      </w:r>
      <w:r>
        <w:rPr>
          <w:rFonts w:ascii="TimesNewRoman" w:hAnsi="TimesNewRoman" w:eastAsia="仿宋_GB2312" w:cs="TimesNewRoman"/>
          <w:bCs/>
          <w:sz w:val="32"/>
          <w:szCs w:val="32"/>
        </w:rPr>
        <w:t>2025年通用资产配置支出表</w:t>
      </w:r>
    </w:p>
    <w:p w14:paraId="1AD148A3">
      <w:pPr>
        <w:pStyle w:val="5"/>
        <w:adjustRightInd w:val="0"/>
        <w:snapToGrid w:val="0"/>
        <w:spacing w:line="40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第三部分 2025年</w:t>
      </w:r>
      <w:r>
        <w:rPr>
          <w:rFonts w:hint="eastAsia" w:ascii="TimesNewRoman" w:hAnsi="TimesNewRoman" w:eastAsia="仿宋_GB2312" w:cs="TimesNewRoman"/>
          <w:b/>
          <w:sz w:val="32"/>
          <w:szCs w:val="32"/>
          <w:lang w:eastAsia="zh-CN"/>
        </w:rPr>
        <w:t>单位</w:t>
      </w:r>
      <w:r>
        <w:rPr>
          <w:rFonts w:hint="eastAsia" w:ascii="TimesNewRoman" w:hAnsi="TimesNewRoman" w:eastAsia="仿宋_GB2312" w:cs="TimesNewRoman"/>
          <w:b/>
          <w:sz w:val="32"/>
          <w:szCs w:val="32"/>
        </w:rPr>
        <w:t>预算情况说明</w:t>
      </w:r>
    </w:p>
    <w:p w14:paraId="3A37F364">
      <w:pPr>
        <w:pStyle w:val="5"/>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1、关于2025年收支总表的说明</w:t>
      </w:r>
    </w:p>
    <w:p w14:paraId="4DEDD745">
      <w:pPr>
        <w:pStyle w:val="5"/>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2、关于2025年收入总表的说明</w:t>
      </w:r>
    </w:p>
    <w:p w14:paraId="1734EDDE">
      <w:pPr>
        <w:pStyle w:val="5"/>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3、关于2025年支出总表的说明</w:t>
      </w:r>
    </w:p>
    <w:p w14:paraId="02026E77">
      <w:pPr>
        <w:pStyle w:val="5"/>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4、关于2025年财政拨款收支总表的说明</w:t>
      </w:r>
    </w:p>
    <w:p w14:paraId="5300532B">
      <w:pPr>
        <w:pStyle w:val="5"/>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5、关于2025年一般公共预算支出表的说明</w:t>
      </w:r>
    </w:p>
    <w:p w14:paraId="4448CDB5">
      <w:pPr>
        <w:pStyle w:val="5"/>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6、关于2025年一般公共预算基本支出表的说明</w:t>
      </w:r>
    </w:p>
    <w:p w14:paraId="00E17B7E">
      <w:pPr>
        <w:pStyle w:val="5"/>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7、关于2025年政府性基金预算支出表的说明</w:t>
      </w:r>
    </w:p>
    <w:p w14:paraId="73F3A014">
      <w:pPr>
        <w:pStyle w:val="5"/>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8、关于2025年国有资本经营预算支出表的说明</w:t>
      </w:r>
    </w:p>
    <w:p w14:paraId="3182704D">
      <w:pPr>
        <w:pStyle w:val="5"/>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9、关于2025年项目支出表的说明</w:t>
      </w:r>
    </w:p>
    <w:p w14:paraId="62E0D2D9">
      <w:pPr>
        <w:pStyle w:val="5"/>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10、关于2025年政府采购支出表的说明</w:t>
      </w:r>
    </w:p>
    <w:p w14:paraId="44376066">
      <w:pPr>
        <w:pStyle w:val="5"/>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11、关于2025年政府购买服务支出表的说明</w:t>
      </w:r>
    </w:p>
    <w:p w14:paraId="6055D31A">
      <w:pPr>
        <w:pStyle w:val="5"/>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12、其他重要事项情况说明</w:t>
      </w:r>
    </w:p>
    <w:p w14:paraId="53A79643">
      <w:pPr>
        <w:pStyle w:val="5"/>
        <w:adjustRightInd w:val="0"/>
        <w:snapToGrid w:val="0"/>
        <w:spacing w:line="40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第四部分 名词解释</w:t>
      </w:r>
    </w:p>
    <w:p w14:paraId="5FA5A42A">
      <w:pPr>
        <w:pStyle w:val="5"/>
        <w:adjustRightInd w:val="0"/>
        <w:snapToGrid w:val="0"/>
        <w:spacing w:line="40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第五部分 其它公开事项</w:t>
      </w:r>
    </w:p>
    <w:p w14:paraId="569FF807">
      <w:pPr>
        <w:pStyle w:val="5"/>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1、</w:t>
      </w:r>
      <w:r>
        <w:rPr>
          <w:rFonts w:hint="eastAsia" w:ascii="TimesNewRoman" w:hAnsi="TimesNewRoman" w:eastAsia="仿宋_GB2312" w:cs="TimesNewRoman"/>
          <w:bCs/>
          <w:sz w:val="32"/>
          <w:szCs w:val="32"/>
          <w:lang w:eastAsia="zh-CN"/>
        </w:rPr>
        <w:t>淮北市科学技术协会（本级）</w:t>
      </w:r>
      <w:r>
        <w:rPr>
          <w:rFonts w:hint="eastAsia" w:ascii="TimesNewRoman" w:hAnsi="TimesNewRoman" w:eastAsia="仿宋_GB2312" w:cs="TimesNewRoman"/>
          <w:bCs/>
          <w:sz w:val="32"/>
          <w:szCs w:val="32"/>
        </w:rPr>
        <w:t>2025年部门预算纳入绩效考评项目表</w:t>
      </w:r>
    </w:p>
    <w:p w14:paraId="1A22AC2F">
      <w:pPr>
        <w:pStyle w:val="5"/>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2、</w:t>
      </w:r>
      <w:r>
        <w:rPr>
          <w:rFonts w:hint="eastAsia" w:ascii="TimesNewRoman" w:hAnsi="TimesNewRoman" w:eastAsia="仿宋_GB2312" w:cs="TimesNewRoman"/>
          <w:bCs/>
          <w:sz w:val="32"/>
          <w:szCs w:val="32"/>
          <w:lang w:eastAsia="zh-CN"/>
        </w:rPr>
        <w:t>淮北市科学技术协会（本级）</w:t>
      </w:r>
      <w:r>
        <w:rPr>
          <w:rFonts w:hint="eastAsia" w:ascii="TimesNewRoman" w:hAnsi="TimesNewRoman" w:eastAsia="仿宋_GB2312" w:cs="TimesNewRoman"/>
          <w:bCs/>
          <w:sz w:val="32"/>
          <w:szCs w:val="32"/>
        </w:rPr>
        <w:t>2025年部门预算专项资金管理清单（专栏公开）</w:t>
      </w:r>
    </w:p>
    <w:p w14:paraId="13936F6B">
      <w:pPr>
        <w:pStyle w:val="5"/>
        <w:adjustRightInd w:val="0"/>
        <w:snapToGrid w:val="0"/>
        <w:spacing w:line="400" w:lineRule="exact"/>
        <w:ind w:firstLine="800" w:firstLineChars="250"/>
        <w:rPr>
          <w:rFonts w:ascii="TimesNewRoman" w:hAnsi="TimesNewRoman" w:eastAsia="仿宋_GB2312" w:cs="TimesNewRoman"/>
          <w:bCs/>
          <w:sz w:val="32"/>
          <w:szCs w:val="32"/>
        </w:rPr>
      </w:pPr>
    </w:p>
    <w:p w14:paraId="1698BAEA">
      <w:pPr>
        <w:pStyle w:val="5"/>
        <w:adjustRightInd w:val="0"/>
        <w:snapToGrid w:val="0"/>
        <w:spacing w:line="560" w:lineRule="exact"/>
        <w:jc w:val="center"/>
        <w:rPr>
          <w:rFonts w:ascii="TimesNewRoman" w:hAnsi="TimesNewRoman" w:eastAsia="黑体" w:cs="TimesNewRoman"/>
          <w:bCs/>
          <w:sz w:val="36"/>
          <w:szCs w:val="36"/>
        </w:rPr>
      </w:pPr>
      <w:r>
        <w:rPr>
          <w:rFonts w:hint="eastAsia" w:ascii="TimesNewRoman" w:hAnsi="TimesNewRoman" w:eastAsia="黑体" w:cs="TimesNewRoman"/>
          <w:bCs/>
          <w:sz w:val="36"/>
          <w:szCs w:val="36"/>
        </w:rPr>
        <w:t xml:space="preserve">第一部分 </w:t>
      </w:r>
      <w:r>
        <w:rPr>
          <w:rFonts w:hint="eastAsia" w:ascii="TimesNewRoman" w:hAnsi="TimesNewRoman" w:eastAsia="黑体" w:cs="TimesNewRoman"/>
          <w:bCs/>
          <w:sz w:val="36"/>
          <w:szCs w:val="36"/>
          <w:lang w:eastAsia="zh-CN"/>
        </w:rPr>
        <w:t>单位</w:t>
      </w:r>
      <w:r>
        <w:rPr>
          <w:rFonts w:hint="eastAsia" w:ascii="TimesNewRoman" w:hAnsi="TimesNewRoman" w:eastAsia="黑体" w:cs="TimesNewRoman"/>
          <w:bCs/>
          <w:sz w:val="36"/>
          <w:szCs w:val="36"/>
        </w:rPr>
        <w:t>概况</w:t>
      </w:r>
    </w:p>
    <w:p w14:paraId="0AAACA02"/>
    <w:p w14:paraId="2943A07F">
      <w:pPr>
        <w:pStyle w:val="5"/>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一、主要职责</w:t>
      </w:r>
    </w:p>
    <w:p w14:paraId="4DD8509A">
      <w:pPr>
        <w:pStyle w:val="5"/>
        <w:adjustRightInd w:val="0"/>
        <w:snapToGrid w:val="0"/>
        <w:spacing w:line="560" w:lineRule="exact"/>
        <w:ind w:firstLine="627" w:firstLineChars="196"/>
        <w:rPr>
          <w:rFonts w:hint="eastAsia" w:ascii="TimesNewRoman" w:hAnsi="TimesNewRoman" w:eastAsia="仿宋_GB2312" w:cs="TimesNewRoman"/>
          <w:sz w:val="32"/>
          <w:szCs w:val="32"/>
        </w:rPr>
      </w:pPr>
      <w:r>
        <w:rPr>
          <w:rFonts w:hint="eastAsia" w:ascii="TimesNewRoman" w:hAnsi="TimesNewRoman" w:eastAsia="仿宋_GB2312" w:cs="TimesNewRoman"/>
          <w:sz w:val="32"/>
          <w:szCs w:val="32"/>
        </w:rPr>
        <w:t>（一）开展学术交流，活跃学术思想，促进学科和经济发展。</w:t>
      </w:r>
    </w:p>
    <w:p w14:paraId="1641104E">
      <w:pPr>
        <w:pStyle w:val="5"/>
        <w:adjustRightInd w:val="0"/>
        <w:snapToGrid w:val="0"/>
        <w:spacing w:line="560" w:lineRule="exact"/>
        <w:ind w:firstLine="627" w:firstLineChars="196"/>
        <w:rPr>
          <w:rFonts w:hint="eastAsia" w:ascii="TimesNewRoman" w:hAnsi="TimesNewRoman" w:eastAsia="仿宋_GB2312" w:cs="TimesNewRoman"/>
          <w:sz w:val="32"/>
          <w:szCs w:val="32"/>
        </w:rPr>
      </w:pPr>
      <w:r>
        <w:rPr>
          <w:rFonts w:hint="eastAsia" w:ascii="TimesNewRoman" w:hAnsi="TimesNewRoman" w:eastAsia="仿宋_GB2312" w:cs="TimesNewRoman"/>
          <w:sz w:val="32"/>
          <w:szCs w:val="32"/>
        </w:rPr>
        <w:t>（二）普及科学知识，推广先进技术，开展青少年科技教育活动。</w:t>
      </w:r>
    </w:p>
    <w:p w14:paraId="247671D6">
      <w:pPr>
        <w:pStyle w:val="5"/>
        <w:adjustRightInd w:val="0"/>
        <w:snapToGrid w:val="0"/>
        <w:spacing w:line="560" w:lineRule="exact"/>
        <w:ind w:firstLine="627" w:firstLineChars="196"/>
        <w:rPr>
          <w:rFonts w:hint="eastAsia" w:ascii="TimesNewRoman" w:hAnsi="TimesNewRoman" w:eastAsia="仿宋_GB2312" w:cs="TimesNewRoman"/>
          <w:sz w:val="32"/>
          <w:szCs w:val="32"/>
        </w:rPr>
      </w:pPr>
      <w:r>
        <w:rPr>
          <w:rFonts w:hint="eastAsia" w:ascii="TimesNewRoman" w:hAnsi="TimesNewRoman" w:eastAsia="仿宋_GB2312" w:cs="TimesNewRoman"/>
          <w:sz w:val="32"/>
          <w:szCs w:val="32"/>
        </w:rPr>
        <w:t>（三）编辑出版科学、技术和科普书、报、刊。</w:t>
      </w:r>
    </w:p>
    <w:p w14:paraId="0DBCBB46">
      <w:pPr>
        <w:pStyle w:val="5"/>
        <w:adjustRightInd w:val="0"/>
        <w:snapToGrid w:val="0"/>
        <w:spacing w:line="560" w:lineRule="exact"/>
        <w:ind w:firstLine="627" w:firstLineChars="196"/>
        <w:rPr>
          <w:rFonts w:hint="eastAsia" w:ascii="TimesNewRoman" w:hAnsi="TimesNewRoman" w:eastAsia="仿宋_GB2312" w:cs="TimesNewRoman"/>
          <w:sz w:val="32"/>
          <w:szCs w:val="32"/>
        </w:rPr>
      </w:pPr>
      <w:r>
        <w:rPr>
          <w:rFonts w:hint="eastAsia" w:ascii="TimesNewRoman" w:hAnsi="TimesNewRoman" w:eastAsia="仿宋_GB2312" w:cs="TimesNewRoman"/>
          <w:sz w:val="32"/>
          <w:szCs w:val="32"/>
        </w:rPr>
        <w:t>（四）促进并开展继续教育和技术培训工作。</w:t>
      </w:r>
    </w:p>
    <w:p w14:paraId="019A7B49">
      <w:pPr>
        <w:pStyle w:val="5"/>
        <w:adjustRightInd w:val="0"/>
        <w:snapToGrid w:val="0"/>
        <w:spacing w:line="560" w:lineRule="exact"/>
        <w:ind w:firstLine="627" w:firstLineChars="196"/>
        <w:rPr>
          <w:rFonts w:hint="eastAsia" w:ascii="TimesNewRoman" w:hAnsi="TimesNewRoman" w:eastAsia="仿宋_GB2312" w:cs="TimesNewRoman"/>
          <w:sz w:val="32"/>
          <w:szCs w:val="32"/>
        </w:rPr>
      </w:pPr>
      <w:r>
        <w:rPr>
          <w:rFonts w:hint="eastAsia" w:ascii="TimesNewRoman" w:hAnsi="TimesNewRoman" w:eastAsia="仿宋_GB2312" w:cs="TimesNewRoman"/>
          <w:sz w:val="32"/>
          <w:szCs w:val="32"/>
        </w:rPr>
        <w:t>（五）开展民间国际科技交流活动，发展同国外的科技团体和科技工作者的友好交往。</w:t>
      </w:r>
    </w:p>
    <w:p w14:paraId="60560011">
      <w:pPr>
        <w:pStyle w:val="5"/>
        <w:adjustRightInd w:val="0"/>
        <w:snapToGrid w:val="0"/>
        <w:spacing w:line="560" w:lineRule="exact"/>
        <w:ind w:firstLine="627" w:firstLineChars="196"/>
        <w:rPr>
          <w:rFonts w:hint="eastAsia" w:ascii="TimesNewRoman" w:hAnsi="TimesNewRoman" w:eastAsia="仿宋_GB2312" w:cs="TimesNewRoman"/>
          <w:sz w:val="32"/>
          <w:szCs w:val="32"/>
        </w:rPr>
      </w:pPr>
      <w:r>
        <w:rPr>
          <w:rFonts w:hint="eastAsia" w:ascii="TimesNewRoman" w:hAnsi="TimesNewRoman" w:eastAsia="仿宋_GB2312" w:cs="TimesNewRoman"/>
          <w:sz w:val="32"/>
          <w:szCs w:val="32"/>
        </w:rPr>
        <w:t>（六）开展决策论证，提出政策建议；进行科技咨询服务，兴办科技实体；接受委托承担科技项目评估、成果鉴定、技术职务资格评定等任务。</w:t>
      </w:r>
    </w:p>
    <w:p w14:paraId="5A8844D1">
      <w:pPr>
        <w:pStyle w:val="5"/>
        <w:adjustRightInd w:val="0"/>
        <w:snapToGrid w:val="0"/>
        <w:spacing w:line="560" w:lineRule="exact"/>
        <w:ind w:firstLine="627" w:firstLineChars="196"/>
        <w:rPr>
          <w:rFonts w:hint="eastAsia" w:ascii="TimesNewRoman" w:hAnsi="TimesNewRoman" w:eastAsia="仿宋_GB2312" w:cs="TimesNewRoman"/>
          <w:sz w:val="32"/>
          <w:szCs w:val="32"/>
        </w:rPr>
      </w:pPr>
      <w:r>
        <w:rPr>
          <w:rFonts w:hint="eastAsia" w:ascii="TimesNewRoman" w:hAnsi="TimesNewRoman" w:eastAsia="仿宋_GB2312" w:cs="TimesNewRoman"/>
          <w:sz w:val="32"/>
          <w:szCs w:val="32"/>
        </w:rPr>
        <w:t>（七）加强所属团体之间的联系，促进自然科学和社会科学的结合。</w:t>
      </w:r>
    </w:p>
    <w:p w14:paraId="1F343DEE">
      <w:pPr>
        <w:pStyle w:val="5"/>
        <w:adjustRightInd w:val="0"/>
        <w:snapToGrid w:val="0"/>
        <w:spacing w:line="560" w:lineRule="exact"/>
        <w:ind w:firstLine="627" w:firstLineChars="196"/>
        <w:rPr>
          <w:rFonts w:hint="eastAsia" w:ascii="TimesNewRoman" w:hAnsi="TimesNewRoman" w:eastAsia="仿宋_GB2312" w:cs="TimesNewRoman"/>
          <w:sz w:val="32"/>
          <w:szCs w:val="32"/>
        </w:rPr>
      </w:pPr>
      <w:r>
        <w:rPr>
          <w:rFonts w:hint="eastAsia" w:ascii="TimesNewRoman" w:hAnsi="TimesNewRoman" w:eastAsia="仿宋_GB2312" w:cs="TimesNewRoman"/>
          <w:sz w:val="32"/>
          <w:szCs w:val="32"/>
        </w:rPr>
        <w:t>（八）举办为学术活动、科技普及和为科技工作者、科技团体服务的事业。</w:t>
      </w:r>
    </w:p>
    <w:p w14:paraId="3F9B5BD7">
      <w:pPr>
        <w:pStyle w:val="5"/>
        <w:adjustRightInd w:val="0"/>
        <w:snapToGrid w:val="0"/>
        <w:spacing w:line="560" w:lineRule="exact"/>
        <w:ind w:firstLine="627" w:firstLineChars="196"/>
        <w:rPr>
          <w:rFonts w:hint="eastAsia" w:ascii="TimesNewRoman" w:hAnsi="TimesNewRoman" w:eastAsia="仿宋_GB2312" w:cs="TimesNewRoman"/>
          <w:sz w:val="32"/>
          <w:szCs w:val="32"/>
        </w:rPr>
      </w:pPr>
      <w:r>
        <w:rPr>
          <w:rFonts w:hint="eastAsia" w:ascii="TimesNewRoman" w:hAnsi="TimesNewRoman" w:eastAsia="仿宋_GB2312" w:cs="TimesNewRoman"/>
          <w:sz w:val="32"/>
          <w:szCs w:val="32"/>
        </w:rPr>
        <w:t>（九）表彰奖励优秀科技工作者，举荐人才。弘扬“尊重知识、尊重人才”的社会风尚。</w:t>
      </w:r>
    </w:p>
    <w:p w14:paraId="5838565D">
      <w:pPr>
        <w:pStyle w:val="5"/>
        <w:adjustRightInd w:val="0"/>
        <w:snapToGrid w:val="0"/>
        <w:spacing w:line="560" w:lineRule="exact"/>
        <w:ind w:firstLine="627" w:firstLineChars="196"/>
        <w:rPr>
          <w:rFonts w:hint="eastAsia" w:ascii="TimesNewRoman" w:hAnsi="TimesNewRoman" w:eastAsia="仿宋_GB2312" w:cs="TimesNewRoman"/>
          <w:sz w:val="32"/>
          <w:szCs w:val="32"/>
        </w:rPr>
      </w:pPr>
      <w:r>
        <w:rPr>
          <w:rFonts w:hint="eastAsia" w:ascii="TimesNewRoman" w:hAnsi="TimesNewRoman" w:eastAsia="仿宋_GB2312" w:cs="TimesNewRoman"/>
          <w:sz w:val="32"/>
          <w:szCs w:val="32"/>
        </w:rPr>
        <w:t>（十）参与科技政策、法规制定，反映科技工作者的意愿和要求，维护科技工作者的合法权益。</w:t>
      </w:r>
    </w:p>
    <w:p w14:paraId="46119CD2">
      <w:pPr>
        <w:pStyle w:val="5"/>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二、</w:t>
      </w:r>
      <w:r>
        <w:rPr>
          <w:rFonts w:hint="eastAsia" w:ascii="TimesNewRoman" w:hAnsi="TimesNewRoman" w:eastAsia="黑体" w:cs="TimesNewRoman"/>
          <w:bCs/>
          <w:sz w:val="32"/>
          <w:szCs w:val="32"/>
          <w:lang w:eastAsia="zh-CN"/>
        </w:rPr>
        <w:t>单位</w:t>
      </w:r>
      <w:r>
        <w:rPr>
          <w:rFonts w:hint="eastAsia" w:ascii="TimesNewRoman" w:hAnsi="TimesNewRoman" w:eastAsia="黑体" w:cs="TimesNewRoman"/>
          <w:bCs/>
          <w:sz w:val="32"/>
          <w:szCs w:val="32"/>
        </w:rPr>
        <w:t>预算构成</w:t>
      </w:r>
    </w:p>
    <w:p w14:paraId="12923F14">
      <w:pPr>
        <w:pStyle w:val="5"/>
        <w:adjustRightInd w:val="0"/>
        <w:snapToGrid w:val="0"/>
        <w:spacing w:line="560" w:lineRule="exact"/>
        <w:ind w:firstLine="627" w:firstLineChars="196"/>
        <w:rPr>
          <w:rFonts w:ascii="TimesNewRoman" w:hAnsi="TimesNewRoman" w:eastAsia="仿宋_GB2312" w:cs="TimesNewRoman"/>
          <w:sz w:val="32"/>
          <w:szCs w:val="32"/>
        </w:rPr>
      </w:pPr>
      <w:r>
        <w:rPr>
          <w:rFonts w:hint="eastAsia" w:ascii="TimesNewRoman" w:hAnsi="TimesNewRoman" w:eastAsia="仿宋_GB2312" w:cs="TimesNewRoman"/>
          <w:sz w:val="32"/>
          <w:szCs w:val="32"/>
        </w:rPr>
        <w:t>从预算单位构成看，</w:t>
      </w:r>
      <w:r>
        <w:rPr>
          <w:rFonts w:hint="eastAsia" w:ascii="TimesNewRoman" w:hAnsi="TimesNewRoman" w:eastAsia="仿宋_GB2312" w:cs="TimesNewRoman"/>
          <w:bCs/>
          <w:sz w:val="32"/>
          <w:szCs w:val="32"/>
          <w:lang w:eastAsia="zh-CN"/>
        </w:rPr>
        <w:t>淮北市科学技术协会（本级）</w:t>
      </w:r>
      <w:r>
        <w:rPr>
          <w:rFonts w:hint="eastAsia" w:ascii="TimesNewRoman" w:hAnsi="TimesNewRoman" w:eastAsia="仿宋_GB2312" w:cs="TimesNewRoman"/>
          <w:sz w:val="32"/>
          <w:szCs w:val="32"/>
        </w:rPr>
        <w:t>2025年度部门预算仅包括局本级预算，无其他下属单位预算。</w:t>
      </w:r>
    </w:p>
    <w:p w14:paraId="6E40F878">
      <w:pPr>
        <w:pStyle w:val="5"/>
        <w:adjustRightInd w:val="0"/>
        <w:snapToGrid w:val="0"/>
        <w:spacing w:line="560" w:lineRule="exact"/>
        <w:ind w:firstLine="627" w:firstLineChars="196"/>
        <w:rPr>
          <w:rFonts w:hint="eastAsia" w:ascii="TimesNewRoman" w:hAnsi="TimesNewRoman" w:eastAsia="黑体" w:cs="TimesNewRoman"/>
          <w:bCs/>
          <w:sz w:val="32"/>
          <w:szCs w:val="32"/>
        </w:rPr>
      </w:pPr>
      <w:r>
        <w:rPr>
          <w:rFonts w:hint="eastAsia" w:ascii="TimesNewRoman" w:hAnsi="TimesNewRoman" w:eastAsia="黑体" w:cs="TimesNewRoman"/>
          <w:bCs/>
          <w:sz w:val="32"/>
          <w:szCs w:val="32"/>
        </w:rPr>
        <w:t>三、2025年度主要工作任务</w:t>
      </w:r>
    </w:p>
    <w:p w14:paraId="2C5DF5C3">
      <w:pPr>
        <w:pStyle w:val="5"/>
        <w:adjustRightInd w:val="0"/>
        <w:snapToGrid w:val="0"/>
        <w:spacing w:line="560" w:lineRule="exact"/>
        <w:ind w:firstLine="627" w:firstLineChars="196"/>
        <w:rPr>
          <w:rFonts w:hint="default" w:ascii="TimesNewRoman" w:hAnsi="TimesNewRoman" w:eastAsia="仿宋_GB2312" w:cs="TimesNewRoman"/>
          <w:sz w:val="32"/>
          <w:szCs w:val="32"/>
          <w:lang w:val="en-US" w:eastAsia="zh-CN"/>
        </w:rPr>
      </w:pPr>
      <w:r>
        <w:rPr>
          <w:rFonts w:hint="default" w:ascii="TimesNewRoman" w:hAnsi="TimesNewRoman" w:eastAsia="仿宋_GB2312" w:cs="TimesNewRoman"/>
          <w:sz w:val="32"/>
          <w:szCs w:val="32"/>
          <w:lang w:val="en-US" w:eastAsia="zh-CN"/>
        </w:rPr>
        <w:t>（一）加强政治思想引领</w:t>
      </w:r>
      <w:bookmarkStart w:id="0" w:name="_GoBack"/>
      <w:bookmarkEnd w:id="0"/>
    </w:p>
    <w:p w14:paraId="3C826160">
      <w:pPr>
        <w:pStyle w:val="5"/>
        <w:adjustRightInd w:val="0"/>
        <w:snapToGrid w:val="0"/>
        <w:spacing w:line="560" w:lineRule="exact"/>
        <w:ind w:firstLine="627" w:firstLineChars="196"/>
        <w:rPr>
          <w:rFonts w:hint="default" w:ascii="TimesNewRoman" w:hAnsi="TimesNewRoman" w:eastAsia="仿宋_GB2312" w:cs="TimesNewRoman"/>
          <w:sz w:val="32"/>
          <w:szCs w:val="32"/>
          <w:lang w:val="en-US" w:eastAsia="zh-CN"/>
        </w:rPr>
      </w:pPr>
      <w:r>
        <w:rPr>
          <w:rFonts w:hint="default" w:ascii="TimesNewRoman" w:hAnsi="TimesNewRoman" w:eastAsia="仿宋_GB2312" w:cs="TimesNewRoman"/>
          <w:sz w:val="32"/>
          <w:szCs w:val="32"/>
          <w:lang w:val="en-US" w:eastAsia="zh-CN"/>
        </w:rPr>
        <w:t>1.以党的创新理论凝聚意志力量。</w:t>
      </w:r>
      <w:r>
        <w:rPr>
          <w:rFonts w:hint="default" w:ascii="TimesNewRoman" w:hAnsi="TimesNewRoman" w:eastAsia="仿宋_GB2312" w:cs="TimesNewRoman"/>
          <w:sz w:val="32"/>
          <w:szCs w:val="32"/>
          <w:lang w:eastAsia="zh-CN"/>
        </w:rPr>
        <w:t>组织科技工作者深入学习贯彻习近平新时代中国特色社会主义思想，广泛开展学习宣传贯彻总书记考察安徽重要讲话精神、党的二十大和二十届三中全会精神，深入学习贯彻习近平总书记关于全面深化改革的一系列新思想、新观点、新论断，引导科技工作者领悟党的最新理论成果所蕴含的原理、学理、哲理，深刻领会核心要义、丰富内涵和实践要求。深刻领悟“两个确立”的决定性意义，切实增强“四个意识”，坚定“四个自信”，做到“两个维护”，不断增强对党的政治认同、思想认同、理论认同、情感认同，引领科技工作者紧密团结在以习近平同志为核心的党中央周围，心怀“国之大者”，勇攀高峰，自立自强，筑牢党在科技界的执政之基。</w:t>
      </w:r>
    </w:p>
    <w:p w14:paraId="30346E7C">
      <w:pPr>
        <w:pStyle w:val="5"/>
        <w:adjustRightInd w:val="0"/>
        <w:snapToGrid w:val="0"/>
        <w:spacing w:line="560" w:lineRule="exact"/>
        <w:ind w:firstLine="627" w:firstLineChars="196"/>
        <w:rPr>
          <w:rFonts w:hint="default" w:ascii="TimesNewRoman" w:hAnsi="TimesNewRoman" w:eastAsia="仿宋_GB2312" w:cs="TimesNewRoman"/>
          <w:sz w:val="32"/>
          <w:szCs w:val="32"/>
          <w:lang w:val="en-US" w:eastAsia="zh-CN"/>
        </w:rPr>
      </w:pPr>
      <w:r>
        <w:rPr>
          <w:rFonts w:hint="default" w:ascii="TimesNewRoman" w:hAnsi="TimesNewRoman" w:eastAsia="仿宋_GB2312" w:cs="TimesNewRoman"/>
          <w:sz w:val="32"/>
          <w:szCs w:val="32"/>
          <w:lang w:val="en-US" w:eastAsia="zh-CN"/>
        </w:rPr>
        <w:t>2.大力弘扬新时代科学家精神。</w:t>
      </w:r>
      <w:r>
        <w:rPr>
          <w:rFonts w:hint="default" w:ascii="TimesNewRoman" w:hAnsi="TimesNewRoman" w:eastAsia="仿宋_GB2312" w:cs="TimesNewRoman"/>
          <w:sz w:val="32"/>
          <w:szCs w:val="32"/>
          <w:lang w:eastAsia="zh-CN"/>
        </w:rPr>
        <w:t>进一步深入贯彻落实《关于进一步弘扬科学家精神加强作风和学风建设的意见》，依托科技馆、社区（校园）科普馆、科协网站、公众号等平台，大力宣传科学家精神。深入挖掘优秀科技工作者的先进事迹，积极宣传优秀科技工作者、杰出科技人才的突出贡献和爱国情怀，弘扬新时代中国科学家精神，培育和践行社会主义核心价值观，把政治优势转化为发展优势。以喜闻乐见的方式推动科学家精神进校园,传播科学家故事，大力开展科学道德和学风建设宣讲教育活动，建设以弘扬科学家精神为主题的市级科普教育基地。开展创新争先行动，引导科技工作者争先创优，争当先锋，争做贡献，为全市经济社会发展提供科技支撑。</w:t>
      </w:r>
    </w:p>
    <w:p w14:paraId="66E6B67C">
      <w:pPr>
        <w:pStyle w:val="5"/>
        <w:adjustRightInd w:val="0"/>
        <w:snapToGrid w:val="0"/>
        <w:spacing w:line="560" w:lineRule="exact"/>
        <w:ind w:firstLine="627" w:firstLineChars="196"/>
        <w:rPr>
          <w:rFonts w:hint="default" w:ascii="TimesNewRoman" w:hAnsi="TimesNewRoman" w:eastAsia="仿宋_GB2312" w:cs="TimesNewRoman"/>
          <w:sz w:val="32"/>
          <w:szCs w:val="32"/>
          <w:lang w:val="en-US" w:eastAsia="zh-CN"/>
        </w:rPr>
      </w:pPr>
      <w:r>
        <w:rPr>
          <w:rFonts w:hint="default" w:ascii="TimesNewRoman" w:hAnsi="TimesNewRoman" w:eastAsia="仿宋_GB2312" w:cs="TimesNewRoman"/>
          <w:sz w:val="32"/>
          <w:szCs w:val="32"/>
          <w:lang w:val="en-US" w:eastAsia="zh-CN"/>
        </w:rPr>
        <w:t>（二）服务培养科技人才，服务创新驱动发展</w:t>
      </w:r>
    </w:p>
    <w:p w14:paraId="1E570E02">
      <w:pPr>
        <w:pStyle w:val="5"/>
        <w:adjustRightInd w:val="0"/>
        <w:snapToGrid w:val="0"/>
        <w:spacing w:line="560" w:lineRule="exact"/>
        <w:ind w:firstLine="627" w:firstLineChars="196"/>
        <w:rPr>
          <w:rFonts w:hint="default" w:ascii="TimesNewRoman" w:hAnsi="TimesNewRoman" w:eastAsia="仿宋_GB2312" w:cs="TimesNewRoman"/>
          <w:sz w:val="32"/>
          <w:szCs w:val="32"/>
          <w:lang w:val="en-US" w:eastAsia="zh-CN"/>
        </w:rPr>
      </w:pPr>
      <w:r>
        <w:rPr>
          <w:rFonts w:hint="default" w:ascii="TimesNewRoman" w:hAnsi="TimesNewRoman" w:eastAsia="仿宋_GB2312" w:cs="TimesNewRoman"/>
          <w:sz w:val="32"/>
          <w:szCs w:val="32"/>
          <w:lang w:val="en-US" w:eastAsia="zh-CN"/>
        </w:rPr>
        <w:t>1.积极举荐宣传科技人才。</w:t>
      </w:r>
      <w:r>
        <w:rPr>
          <w:rFonts w:hint="default" w:ascii="TimesNewRoman" w:hAnsi="TimesNewRoman" w:eastAsia="仿宋_GB2312" w:cs="TimesNewRoman"/>
          <w:sz w:val="32"/>
          <w:szCs w:val="32"/>
          <w:lang w:eastAsia="zh-CN"/>
        </w:rPr>
        <w:t>积极参加安徽省创新争先奖、安徽省青年科技奖、安徽省最美科技工作者、安徽省企业典型创新案例申报、科创安徽大赛、淮海科技奖等各类奖项推选。鼓励县区科协开展各类优秀科技工作者评选表扬活动。充分利用科协网站、公众号等媒体平台，结合“全国科技工作者日”系列活动，联合相关单位开展“最美科技工作者”学习宣传活动、企业“创新达人”宣讲活动，广泛宣传科技工作者事迹，展现科技工作者风采，激励科技工作者把爱国情、报国志转化为建设科技强市的实际行动。推动各级科协、学会加大对取得重大科技创新成果和奋斗在基层一线的科技工作者的宣传力度。</w:t>
      </w:r>
    </w:p>
    <w:p w14:paraId="7EA09471">
      <w:pPr>
        <w:pStyle w:val="5"/>
        <w:adjustRightInd w:val="0"/>
        <w:snapToGrid w:val="0"/>
        <w:spacing w:line="560" w:lineRule="exact"/>
        <w:ind w:firstLine="627" w:firstLineChars="196"/>
        <w:rPr>
          <w:rFonts w:hint="default" w:ascii="TimesNewRoman" w:hAnsi="TimesNewRoman" w:eastAsia="仿宋_GB2312" w:cs="TimesNewRoman"/>
          <w:sz w:val="32"/>
          <w:szCs w:val="32"/>
          <w:lang w:val="en-US" w:eastAsia="zh-CN"/>
        </w:rPr>
      </w:pPr>
      <w:r>
        <w:rPr>
          <w:rFonts w:hint="default" w:ascii="TimesNewRoman" w:hAnsi="TimesNewRoman" w:eastAsia="仿宋_GB2312" w:cs="TimesNewRoman"/>
          <w:sz w:val="32"/>
          <w:szCs w:val="32"/>
          <w:lang w:val="en-US" w:eastAsia="zh-CN"/>
        </w:rPr>
        <w:t>2.完善后备人才培育体系。</w:t>
      </w:r>
      <w:r>
        <w:rPr>
          <w:rFonts w:hint="default" w:ascii="TimesNewRoman" w:hAnsi="TimesNewRoman" w:eastAsia="仿宋_GB2312" w:cs="TimesNewRoman"/>
          <w:sz w:val="32"/>
          <w:szCs w:val="32"/>
          <w:lang w:eastAsia="zh-CN"/>
        </w:rPr>
        <w:t>积极开展全市青少年科技创新大赛、机器人竞赛等比赛，组队参加全省、全国科技创新竞赛。扩大青少年科学调查体验活动、“高校科学营”、“专家乡村学堂讲科普”等活动的覆盖面和影响力。加强科技教师和科技辅导员队伍建设，提升青少年科技教育水平。推动高校、科技型企业重点实验室和科普场馆等面向青少年开放。</w:t>
      </w:r>
    </w:p>
    <w:p w14:paraId="1BABDA49">
      <w:pPr>
        <w:pStyle w:val="5"/>
        <w:adjustRightInd w:val="0"/>
        <w:snapToGrid w:val="0"/>
        <w:spacing w:line="560" w:lineRule="exact"/>
        <w:ind w:firstLine="627" w:firstLineChars="196"/>
        <w:rPr>
          <w:rFonts w:hint="default" w:ascii="TimesNewRoman" w:hAnsi="TimesNewRoman" w:eastAsia="仿宋_GB2312" w:cs="TimesNewRoman"/>
          <w:sz w:val="32"/>
          <w:szCs w:val="32"/>
          <w:lang w:val="en-US" w:eastAsia="zh-CN"/>
        </w:rPr>
      </w:pPr>
      <w:r>
        <w:rPr>
          <w:rFonts w:hint="default" w:ascii="TimesNewRoman" w:hAnsi="TimesNewRoman" w:eastAsia="仿宋_GB2312" w:cs="TimesNewRoman"/>
          <w:sz w:val="32"/>
          <w:szCs w:val="32"/>
          <w:lang w:val="en-US" w:eastAsia="zh-CN"/>
        </w:rPr>
        <w:t>3.实施科技助力乡村振兴行动。</w:t>
      </w:r>
      <w:r>
        <w:rPr>
          <w:rFonts w:hint="default" w:ascii="TimesNewRoman" w:hAnsi="TimesNewRoman" w:eastAsia="仿宋_GB2312" w:cs="TimesNewRoman"/>
          <w:sz w:val="32"/>
          <w:szCs w:val="32"/>
          <w:lang w:eastAsia="zh-CN"/>
        </w:rPr>
        <w:t>动员科协组织、广大科技工作者积极参与科技助力乡村振兴工作。联合市科技局、市农业农村局发挥科技特派员、科技工作者作用，推进科技小院建设，巩固拓展脱贫攻坚成果。积极开展乡村振兴特色人才培训、特色产业技术服务等帮扶活动。开展科协系统对口帮扶工作，支持县区科协、市级学会广泛开展科技培训、科技交流、科普活动。发动市级有关学会联系对接全国、全省相关学会，组织科技专家和各级科技特派员推动农村发展特色产业，帮助解决技术难题。</w:t>
      </w:r>
    </w:p>
    <w:p w14:paraId="771440FE">
      <w:pPr>
        <w:pStyle w:val="5"/>
        <w:adjustRightInd w:val="0"/>
        <w:snapToGrid w:val="0"/>
        <w:spacing w:line="560" w:lineRule="exact"/>
        <w:ind w:firstLine="627" w:firstLineChars="196"/>
        <w:rPr>
          <w:rFonts w:hint="default" w:ascii="TimesNewRoman" w:hAnsi="TimesNewRoman" w:eastAsia="仿宋_GB2312" w:cs="TimesNewRoman"/>
          <w:sz w:val="32"/>
          <w:szCs w:val="32"/>
          <w:lang w:val="en-US" w:eastAsia="zh-CN"/>
        </w:rPr>
      </w:pPr>
      <w:r>
        <w:rPr>
          <w:rFonts w:hint="default" w:ascii="TimesNewRoman" w:hAnsi="TimesNewRoman" w:eastAsia="仿宋_GB2312" w:cs="TimesNewRoman"/>
          <w:sz w:val="32"/>
          <w:szCs w:val="32"/>
          <w:lang w:val="en-US" w:eastAsia="zh-CN"/>
        </w:rPr>
        <w:t>（三）坚持科普为民惠民，服务全民科学素质提升</w:t>
      </w:r>
    </w:p>
    <w:p w14:paraId="21184C5D">
      <w:pPr>
        <w:pStyle w:val="5"/>
        <w:adjustRightInd w:val="0"/>
        <w:snapToGrid w:val="0"/>
        <w:spacing w:line="560" w:lineRule="exact"/>
        <w:ind w:firstLine="627" w:firstLineChars="196"/>
        <w:rPr>
          <w:rFonts w:hint="default" w:ascii="TimesNewRoman" w:hAnsi="TimesNewRoman" w:eastAsia="仿宋_GB2312" w:cs="TimesNewRoman"/>
          <w:sz w:val="32"/>
          <w:szCs w:val="32"/>
          <w:lang w:val="en-US" w:eastAsia="zh-CN"/>
        </w:rPr>
      </w:pPr>
      <w:r>
        <w:rPr>
          <w:rFonts w:hint="default" w:ascii="TimesNewRoman" w:hAnsi="TimesNewRoman" w:eastAsia="仿宋_GB2312" w:cs="TimesNewRoman"/>
          <w:sz w:val="32"/>
          <w:szCs w:val="32"/>
          <w:lang w:val="en-US" w:eastAsia="zh-CN"/>
        </w:rPr>
        <w:t>1.抓好全民科学素质纲要实施。</w:t>
      </w:r>
      <w:r>
        <w:rPr>
          <w:rFonts w:hint="default" w:ascii="TimesNewRoman" w:hAnsi="TimesNewRoman" w:eastAsia="仿宋_GB2312" w:cs="TimesNewRoman"/>
          <w:sz w:val="32"/>
          <w:szCs w:val="32"/>
          <w:lang w:eastAsia="zh-CN"/>
        </w:rPr>
        <w:t>把提升公民科学素质作为实现高水平科技自立自强基础工程，大力推进《全民科学素质行动规划纲要（2021-2035）》及我市实施方案落实。实施五大重点人群科学素质提升行动，青少年、农民、产业工人、老年人、领导干部和公务员是今后科普工作任务的重点。加快改善地区、人群科学素质发展不均衡问题，广泛调动各级相关单位和社会力量广泛参与，进一步搭建社会化科普服务平台，加强科普资源开发和共享，积极推动科普志愿队伍建设，建立完善全市科普志愿服务体系。</w:t>
      </w:r>
    </w:p>
    <w:p w14:paraId="2BAEE84F">
      <w:pPr>
        <w:pStyle w:val="5"/>
        <w:adjustRightInd w:val="0"/>
        <w:snapToGrid w:val="0"/>
        <w:spacing w:line="560" w:lineRule="exact"/>
        <w:ind w:firstLine="627" w:firstLineChars="196"/>
        <w:rPr>
          <w:rFonts w:hint="default" w:ascii="TimesNewRoman" w:hAnsi="TimesNewRoman" w:eastAsia="仿宋_GB2312" w:cs="TimesNewRoman"/>
          <w:sz w:val="32"/>
          <w:szCs w:val="32"/>
          <w:lang w:val="en-US" w:eastAsia="zh-CN"/>
        </w:rPr>
      </w:pPr>
      <w:r>
        <w:rPr>
          <w:rFonts w:hint="default" w:ascii="TimesNewRoman" w:hAnsi="TimesNewRoman" w:eastAsia="仿宋_GB2312" w:cs="TimesNewRoman"/>
          <w:sz w:val="32"/>
          <w:szCs w:val="32"/>
          <w:lang w:val="en-US" w:eastAsia="zh-CN"/>
        </w:rPr>
        <w:t>2.推进科普手段信息化。</w:t>
      </w:r>
      <w:r>
        <w:rPr>
          <w:rFonts w:hint="default" w:ascii="TimesNewRoman" w:hAnsi="TimesNewRoman" w:eastAsia="仿宋_GB2312" w:cs="TimesNewRoman"/>
          <w:sz w:val="32"/>
          <w:szCs w:val="32"/>
          <w:lang w:eastAsia="zh-CN"/>
        </w:rPr>
        <w:t>大力加强“互联网+科普”建设，培育“科普网红”，着力提升科普信息化建设的质量和效益，打造信息化科普服务精品，构建层次丰富、良性循环、持续发展的科普氛围，促进科普融合传播。繁荣科普创作，推进科普资源集成共享，探索运用科普微电影、科普动漫等手段，提高科普服务质量和效益。积极推动与各部门、市属学会、社会机构等共建共享“科普中国”品牌，构筑更加开放合作的科普信息化建设工作机制。</w:t>
      </w:r>
    </w:p>
    <w:p w14:paraId="6310F576">
      <w:pPr>
        <w:pStyle w:val="5"/>
        <w:adjustRightInd w:val="0"/>
        <w:snapToGrid w:val="0"/>
        <w:spacing w:line="560" w:lineRule="exact"/>
        <w:ind w:firstLine="627" w:firstLineChars="196"/>
        <w:rPr>
          <w:rFonts w:hint="default" w:ascii="TimesNewRoman" w:hAnsi="TimesNewRoman" w:eastAsia="仿宋_GB2312" w:cs="TimesNewRoman"/>
          <w:sz w:val="32"/>
          <w:szCs w:val="32"/>
          <w:lang w:val="en-US" w:eastAsia="zh-CN"/>
        </w:rPr>
      </w:pPr>
      <w:r>
        <w:rPr>
          <w:rFonts w:hint="default" w:ascii="TimesNewRoman" w:hAnsi="TimesNewRoman" w:eastAsia="仿宋_GB2312" w:cs="TimesNewRoman"/>
          <w:sz w:val="32"/>
          <w:szCs w:val="32"/>
          <w:lang w:val="en-US" w:eastAsia="zh-CN"/>
        </w:rPr>
        <w:t>3.大力培育科普品牌活动。</w:t>
      </w:r>
      <w:r>
        <w:rPr>
          <w:rFonts w:hint="default" w:ascii="TimesNewRoman" w:hAnsi="TimesNewRoman" w:eastAsia="仿宋_GB2312" w:cs="TimesNewRoman"/>
          <w:sz w:val="32"/>
          <w:szCs w:val="32"/>
          <w:lang w:eastAsia="zh-CN"/>
        </w:rPr>
        <w:t>开展全国科普日、科技活动周等品牌宣传活动，不断推进百名科技专家乡村学堂讲科普、科普大篷车偏远乡村行、科普讲座进社区、科普进党校、科普进宗教场所、科普巡展、科普志愿者服务等特色活动的广度和深度,吸引各界群众广泛参与，进一步发挥品牌科普活动的示范引领作用。开展“科普惠民乡村行”“智爱妈妈行动”等活动，指导支持各县区科协开展特色科普活动，培育形成新的科普活动品牌，扩大科普传播范围和影响力。开展群众性反邪教系列主题宣传活动，围绕防灾减灾、食品安全、移风易俗、环境保护等热点主题，广泛开展群众性科普活动。</w:t>
      </w:r>
    </w:p>
    <w:p w14:paraId="1A8FE2CE">
      <w:pPr>
        <w:pStyle w:val="5"/>
        <w:adjustRightInd w:val="0"/>
        <w:snapToGrid w:val="0"/>
        <w:spacing w:line="560" w:lineRule="exact"/>
        <w:ind w:firstLine="627" w:firstLineChars="196"/>
        <w:rPr>
          <w:rFonts w:hint="default" w:ascii="TimesNewRoman" w:hAnsi="TimesNewRoman" w:eastAsia="仿宋_GB2312" w:cs="TimesNewRoman"/>
          <w:sz w:val="32"/>
          <w:szCs w:val="32"/>
          <w:lang w:eastAsia="zh-CN"/>
        </w:rPr>
      </w:pPr>
      <w:r>
        <w:rPr>
          <w:rFonts w:hint="default" w:ascii="TimesNewRoman" w:hAnsi="TimesNewRoman" w:eastAsia="仿宋_GB2312" w:cs="TimesNewRoman"/>
          <w:sz w:val="32"/>
          <w:szCs w:val="32"/>
          <w:lang w:val="en-US" w:eastAsia="zh-CN"/>
        </w:rPr>
        <w:t>4.加强科普基础设施建设。</w:t>
      </w:r>
      <w:r>
        <w:rPr>
          <w:rFonts w:hint="default" w:ascii="TimesNewRoman" w:hAnsi="TimesNewRoman" w:eastAsia="仿宋_GB2312" w:cs="TimesNewRoman"/>
          <w:sz w:val="32"/>
          <w:szCs w:val="32"/>
          <w:lang w:eastAsia="zh-CN"/>
        </w:rPr>
        <w:t>多渠道、多形式推进市级科技馆新馆建设，指导帮助各县（区）建设特色科技馆，支持高新技术企业和科技企业建设一批产业科技馆。开展国家、省级科普示范平台申报工作。推动高校、科研院所、企业等各级科技创新平台和科普场馆面向公众开放。认定一批科普示范单位，拓展青少年体验和参与科技创新实践的平台和渠道。突出流动性，提升趣味性，积极发挥科普大篷车“科普轻骑兵”作用。各级科协依托社区综合服务设施、社区服务中心（站）等加强科普设施建设，拓展科普服务功能。加强科普中国信息员队伍建设和科技志愿者队伍建设，培育一支专兼结合、素质优良、覆盖广泛的科普工作队伍。鼓励企业、科研机构、高校设立科普岗位，开展科普传播职称评定工作。</w:t>
      </w:r>
    </w:p>
    <w:p w14:paraId="242236F0">
      <w:pPr>
        <w:pStyle w:val="5"/>
        <w:adjustRightInd w:val="0"/>
        <w:snapToGrid w:val="0"/>
        <w:spacing w:line="560" w:lineRule="exact"/>
        <w:ind w:firstLine="627" w:firstLineChars="196"/>
        <w:rPr>
          <w:rFonts w:hint="eastAsia" w:ascii="TimesNewRoman" w:hAnsi="TimesNewRoman" w:eastAsia="黑体" w:cs="TimesNewRoman"/>
          <w:bCs/>
          <w:sz w:val="32"/>
          <w:szCs w:val="32"/>
        </w:rPr>
      </w:pPr>
    </w:p>
    <w:p w14:paraId="1DBADCE5">
      <w:pPr>
        <w:pStyle w:val="5"/>
        <w:adjustRightInd w:val="0"/>
        <w:snapToGrid w:val="0"/>
        <w:spacing w:line="560" w:lineRule="exact"/>
        <w:ind w:firstLine="627" w:firstLineChars="196"/>
        <w:rPr>
          <w:rFonts w:hint="eastAsia" w:ascii="TimesNewRoman" w:hAnsi="TimesNewRoman" w:eastAsia="黑体" w:cs="TimesNewRoman"/>
          <w:bCs/>
          <w:sz w:val="32"/>
          <w:szCs w:val="32"/>
        </w:rPr>
      </w:pPr>
    </w:p>
    <w:p w14:paraId="2A75F18C">
      <w:pPr>
        <w:pStyle w:val="5"/>
        <w:adjustRightInd w:val="0"/>
        <w:snapToGrid w:val="0"/>
        <w:spacing w:line="560" w:lineRule="exact"/>
        <w:ind w:firstLine="627" w:firstLineChars="196"/>
        <w:rPr>
          <w:rFonts w:hint="eastAsia" w:ascii="TimesNewRoman" w:hAnsi="TimesNewRoman" w:eastAsia="黑体" w:cs="TimesNewRoman"/>
          <w:bCs/>
          <w:sz w:val="32"/>
          <w:szCs w:val="32"/>
        </w:rPr>
      </w:pPr>
    </w:p>
    <w:p w14:paraId="638192BB">
      <w:pPr>
        <w:pStyle w:val="5"/>
        <w:adjustRightInd w:val="0"/>
        <w:snapToGrid w:val="0"/>
        <w:spacing w:line="560" w:lineRule="exact"/>
        <w:jc w:val="center"/>
        <w:rPr>
          <w:rFonts w:ascii="TimesNewRoman" w:hAnsi="TimesNewRoman" w:eastAsia="黑体" w:cs="TimesNewRoman"/>
          <w:bCs/>
          <w:sz w:val="36"/>
          <w:szCs w:val="36"/>
        </w:rPr>
      </w:pPr>
      <w:r>
        <w:rPr>
          <w:rFonts w:hint="eastAsia" w:ascii="TimesNewRoman" w:hAnsi="TimesNewRoman" w:eastAsia="黑体" w:cs="TimesNewRoman"/>
          <w:bCs/>
          <w:sz w:val="36"/>
          <w:szCs w:val="36"/>
        </w:rPr>
        <w:t>第二部分 2025年</w:t>
      </w:r>
      <w:r>
        <w:rPr>
          <w:rFonts w:hint="eastAsia" w:ascii="TimesNewRoman" w:hAnsi="TimesNewRoman" w:eastAsia="黑体" w:cs="TimesNewRoman"/>
          <w:bCs/>
          <w:sz w:val="36"/>
          <w:szCs w:val="36"/>
          <w:lang w:eastAsia="zh-CN"/>
        </w:rPr>
        <w:t>单位</w:t>
      </w:r>
      <w:r>
        <w:rPr>
          <w:rFonts w:hint="eastAsia" w:ascii="TimesNewRoman" w:hAnsi="TimesNewRoman" w:eastAsia="黑体" w:cs="TimesNewRoman"/>
          <w:bCs/>
          <w:sz w:val="36"/>
          <w:szCs w:val="36"/>
        </w:rPr>
        <w:t>预算表</w:t>
      </w:r>
    </w:p>
    <w:p w14:paraId="2FC597E9">
      <w:pPr>
        <w:pStyle w:val="5"/>
        <w:adjustRightInd w:val="0"/>
        <w:snapToGrid w:val="0"/>
        <w:spacing w:line="560" w:lineRule="exact"/>
        <w:ind w:firstLine="627" w:firstLineChars="196"/>
        <w:jc w:val="center"/>
        <w:rPr>
          <w:rFonts w:ascii="TimesNewRoman" w:hAnsi="TimesNewRoman" w:eastAsia="仿宋_GB2312" w:cs="TimesNewRoman"/>
          <w:bCs/>
          <w:sz w:val="32"/>
          <w:szCs w:val="32"/>
        </w:rPr>
      </w:pPr>
      <w:r>
        <w:rPr>
          <w:rFonts w:hint="eastAsia" w:ascii="TimesNewRoman" w:hAnsi="TimesNewRoman" w:eastAsia="仿宋_GB2312" w:cs="TimesNewRoman"/>
          <w:bCs/>
          <w:sz w:val="32"/>
          <w:szCs w:val="32"/>
        </w:rPr>
        <w:t>见附件1-2</w:t>
      </w:r>
    </w:p>
    <w:p w14:paraId="4BD31AC5">
      <w:r>
        <w:t xml:space="preserve">                                        </w:t>
      </w:r>
    </w:p>
    <w:p w14:paraId="6BEC63E4">
      <w:pPr>
        <w:pStyle w:val="5"/>
        <w:adjustRightInd w:val="0"/>
        <w:snapToGrid w:val="0"/>
        <w:spacing w:line="560" w:lineRule="exact"/>
        <w:jc w:val="center"/>
        <w:rPr>
          <w:rFonts w:ascii="TimesNewRoman" w:hAnsi="TimesNewRoman" w:eastAsia="黑体" w:cs="TimesNewRoman"/>
          <w:bCs/>
          <w:sz w:val="36"/>
          <w:szCs w:val="36"/>
        </w:rPr>
      </w:pPr>
      <w:r>
        <w:rPr>
          <w:rFonts w:hint="eastAsia" w:ascii="TimesNewRoman" w:hAnsi="TimesNewRoman" w:eastAsia="黑体" w:cs="TimesNewRoman"/>
          <w:bCs/>
          <w:sz w:val="36"/>
          <w:szCs w:val="36"/>
        </w:rPr>
        <w:t>第三部分 2025年</w:t>
      </w:r>
      <w:r>
        <w:rPr>
          <w:rFonts w:hint="eastAsia" w:ascii="TimesNewRoman" w:hAnsi="TimesNewRoman" w:eastAsia="黑体" w:cs="TimesNewRoman"/>
          <w:bCs/>
          <w:sz w:val="36"/>
          <w:szCs w:val="36"/>
          <w:lang w:eastAsia="zh-CN"/>
        </w:rPr>
        <w:t>单位</w:t>
      </w:r>
      <w:r>
        <w:rPr>
          <w:rFonts w:hint="eastAsia" w:ascii="TimesNewRoman" w:hAnsi="TimesNewRoman" w:eastAsia="黑体" w:cs="TimesNewRoman"/>
          <w:bCs/>
          <w:sz w:val="36"/>
          <w:szCs w:val="36"/>
        </w:rPr>
        <w:t>预算情况说明</w:t>
      </w:r>
    </w:p>
    <w:p w14:paraId="05F3D6D7"/>
    <w:p w14:paraId="0B6A1E37">
      <w:pPr>
        <w:pStyle w:val="5"/>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一、关于2025年收支总表的说明</w:t>
      </w:r>
    </w:p>
    <w:p w14:paraId="4FC39D0A">
      <w:pPr>
        <w:pStyle w:val="5"/>
        <w:adjustRightInd w:val="0"/>
        <w:snapToGrid w:val="0"/>
        <w:spacing w:line="560" w:lineRule="exact"/>
        <w:ind w:firstLine="627" w:firstLineChars="196"/>
        <w:rPr>
          <w:rFonts w:hint="eastAsia" w:ascii="TimesNewRoman" w:hAnsi="TimesNewRoman" w:eastAsia="仿宋_GB2312" w:cs="TimesNewRoman"/>
          <w:sz w:val="32"/>
          <w:szCs w:val="32"/>
        </w:rPr>
      </w:pPr>
      <w:r>
        <w:rPr>
          <w:rFonts w:hint="eastAsia" w:ascii="TimesNewRoman" w:hAnsi="TimesNewRoman" w:eastAsia="仿宋_GB2312" w:cs="TimesNewRoman"/>
          <w:sz w:val="32"/>
          <w:szCs w:val="32"/>
        </w:rPr>
        <w:t>按照综合预算的原则，</w:t>
      </w:r>
      <w:r>
        <w:rPr>
          <w:rFonts w:hint="eastAsia" w:ascii="TimesNewRoman" w:hAnsi="TimesNewRoman" w:eastAsia="仿宋_GB2312" w:cs="TimesNewRoman"/>
          <w:sz w:val="32"/>
          <w:szCs w:val="32"/>
          <w:lang w:eastAsia="zh-CN"/>
        </w:rPr>
        <w:t>淮北市科学技术协会（本级）</w:t>
      </w:r>
      <w:r>
        <w:rPr>
          <w:rFonts w:hint="eastAsia" w:ascii="TimesNewRoman" w:hAnsi="TimesNewRoman" w:eastAsia="仿宋_GB2312" w:cs="TimesNewRoman"/>
          <w:sz w:val="32"/>
          <w:szCs w:val="32"/>
        </w:rPr>
        <w:t>所有收入和支出均纳入</w:t>
      </w:r>
      <w:r>
        <w:rPr>
          <w:rFonts w:hint="eastAsia" w:ascii="TimesNewRoman" w:hAnsi="TimesNewRoman" w:eastAsia="仿宋_GB2312" w:cs="TimesNewRoman"/>
          <w:sz w:val="32"/>
          <w:szCs w:val="32"/>
          <w:lang w:eastAsia="zh-CN"/>
        </w:rPr>
        <w:t>单位</w:t>
      </w:r>
      <w:r>
        <w:rPr>
          <w:rFonts w:hint="eastAsia" w:ascii="TimesNewRoman" w:hAnsi="TimesNewRoman" w:eastAsia="仿宋_GB2312" w:cs="TimesNewRoman"/>
          <w:sz w:val="32"/>
          <w:szCs w:val="32"/>
        </w:rPr>
        <w:t>预算管理。</w:t>
      </w:r>
      <w:r>
        <w:rPr>
          <w:rFonts w:hint="eastAsia" w:ascii="TimesNewRoman" w:hAnsi="TimesNewRoman" w:eastAsia="仿宋_GB2312" w:cs="TimesNewRoman"/>
          <w:sz w:val="32"/>
          <w:szCs w:val="32"/>
          <w:lang w:eastAsia="zh-CN"/>
        </w:rPr>
        <w:t>淮北市科学技术协会（本级）</w:t>
      </w:r>
      <w:r>
        <w:rPr>
          <w:rFonts w:hint="eastAsia" w:ascii="TimesNewRoman" w:hAnsi="TimesNewRoman" w:eastAsia="仿宋_GB2312" w:cs="TimesNewRoman"/>
          <w:sz w:val="32"/>
          <w:szCs w:val="32"/>
        </w:rPr>
        <w:t>2025年收支总预算</w:t>
      </w:r>
      <w:r>
        <w:rPr>
          <w:rFonts w:hint="eastAsia" w:ascii="TimesNewRoman" w:hAnsi="TimesNewRoman" w:eastAsia="仿宋_GB2312" w:cs="TimesNewRoman"/>
          <w:sz w:val="32"/>
          <w:szCs w:val="32"/>
          <w:lang w:val="en-US" w:eastAsia="zh-CN"/>
        </w:rPr>
        <w:t>296.86</w:t>
      </w:r>
      <w:r>
        <w:rPr>
          <w:rFonts w:hint="eastAsia" w:ascii="TimesNewRoman" w:hAnsi="TimesNewRoman" w:eastAsia="仿宋_GB2312" w:cs="TimesNewRoman"/>
          <w:sz w:val="32"/>
          <w:szCs w:val="32"/>
        </w:rPr>
        <w:t>万元，收入全部是一般公共预算拨款收入</w:t>
      </w:r>
      <w:r>
        <w:rPr>
          <w:rFonts w:hint="eastAsia" w:ascii="TimesNewRoman" w:hAnsi="TimesNewRoman" w:eastAsia="仿宋_GB2312" w:cs="TimesNewRoman"/>
          <w:sz w:val="32"/>
          <w:szCs w:val="32"/>
          <w:lang w:val="en-US" w:eastAsia="zh-CN"/>
        </w:rPr>
        <w:t>296.86</w:t>
      </w:r>
      <w:r>
        <w:rPr>
          <w:rFonts w:hint="eastAsia" w:ascii="TimesNewRoman" w:hAnsi="TimesNewRoman" w:eastAsia="仿宋_GB2312" w:cs="TimesNewRoman"/>
          <w:sz w:val="32"/>
          <w:szCs w:val="32"/>
        </w:rPr>
        <w:t>万元，支出包括：一般公共服务支出、科学技术支出</w:t>
      </w:r>
      <w:r>
        <w:rPr>
          <w:rFonts w:hint="eastAsia" w:ascii="TimesNewRoman" w:hAnsi="TimesNewRoman" w:eastAsia="仿宋_GB2312" w:cs="TimesNewRoman"/>
          <w:sz w:val="32"/>
          <w:szCs w:val="32"/>
          <w:lang w:eastAsia="zh-CN"/>
        </w:rPr>
        <w:t>、</w:t>
      </w:r>
      <w:r>
        <w:rPr>
          <w:rFonts w:hint="eastAsia" w:ascii="TimesNewRoman" w:hAnsi="TimesNewRoman" w:eastAsia="仿宋_GB2312" w:cs="TimesNewRoman"/>
          <w:sz w:val="32"/>
          <w:szCs w:val="32"/>
        </w:rPr>
        <w:t>社会保障和就业支出、卫生健康支出、住房保障支出。</w:t>
      </w:r>
    </w:p>
    <w:p w14:paraId="53E558FD">
      <w:pPr>
        <w:pStyle w:val="5"/>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二、关于2025年收入总表的说明</w:t>
      </w:r>
    </w:p>
    <w:p w14:paraId="29CB07C1">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lang w:eastAsia="zh-CN"/>
        </w:rPr>
        <w:t>淮北市科学技术协会（本级）</w:t>
      </w:r>
      <w:r>
        <w:rPr>
          <w:rFonts w:hint="eastAsia" w:ascii="TimesNewRoman" w:hAnsi="TimesNewRoman" w:eastAsia="仿宋_GB2312" w:cs="TimesNewRoman"/>
          <w:kern w:val="0"/>
          <w:sz w:val="32"/>
          <w:szCs w:val="32"/>
        </w:rPr>
        <w:t>2025年收入预算</w:t>
      </w:r>
      <w:r>
        <w:rPr>
          <w:rFonts w:hint="eastAsia" w:ascii="TimesNewRoman" w:hAnsi="TimesNewRoman" w:eastAsia="仿宋_GB2312" w:cs="TimesNewRoman"/>
          <w:sz w:val="32"/>
          <w:szCs w:val="32"/>
          <w:lang w:val="en-US" w:eastAsia="zh-CN"/>
        </w:rPr>
        <w:t>296.86</w:t>
      </w:r>
      <w:r>
        <w:rPr>
          <w:rFonts w:hint="eastAsia" w:ascii="TimesNewRoman" w:hAnsi="TimesNewRoman" w:eastAsia="仿宋_GB2312" w:cs="TimesNewRoman"/>
          <w:kern w:val="0"/>
          <w:sz w:val="32"/>
          <w:szCs w:val="32"/>
        </w:rPr>
        <w:t>万元，其中，本年收入</w:t>
      </w:r>
      <w:r>
        <w:rPr>
          <w:rFonts w:hint="eastAsia" w:ascii="TimesNewRoman" w:hAnsi="TimesNewRoman" w:eastAsia="仿宋_GB2312" w:cs="TimesNewRoman"/>
          <w:sz w:val="32"/>
          <w:szCs w:val="32"/>
          <w:lang w:val="en-US" w:eastAsia="zh-CN"/>
        </w:rPr>
        <w:t>296.86</w:t>
      </w:r>
      <w:r>
        <w:rPr>
          <w:rFonts w:hint="eastAsia" w:ascii="TimesNewRoman" w:hAnsi="TimesNewRoman" w:eastAsia="仿宋_GB2312" w:cs="TimesNewRoman"/>
          <w:kern w:val="0"/>
          <w:sz w:val="32"/>
          <w:szCs w:val="32"/>
        </w:rPr>
        <w:t>万元。</w:t>
      </w:r>
    </w:p>
    <w:p w14:paraId="4F5018AA">
      <w:pPr>
        <w:ind w:firstLine="643"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b/>
          <w:kern w:val="0"/>
          <w:sz w:val="32"/>
          <w:szCs w:val="32"/>
        </w:rPr>
        <w:t>（一）本年收入</w:t>
      </w:r>
      <w:r>
        <w:rPr>
          <w:rFonts w:hint="eastAsia" w:ascii="TimesNewRoman" w:hAnsi="TimesNewRoman" w:eastAsia="仿宋_GB2312" w:cs="TimesNewRoman"/>
          <w:sz w:val="32"/>
          <w:szCs w:val="32"/>
          <w:lang w:val="en-US" w:eastAsia="zh-CN"/>
        </w:rPr>
        <w:t>296.86</w:t>
      </w:r>
      <w:r>
        <w:rPr>
          <w:rFonts w:hint="eastAsia" w:ascii="TimesNewRoman" w:hAnsi="TimesNewRoman" w:eastAsia="仿宋_GB2312" w:cs="TimesNewRoman"/>
          <w:b/>
          <w:kern w:val="0"/>
          <w:sz w:val="32"/>
          <w:szCs w:val="32"/>
        </w:rPr>
        <w:t>万元，</w:t>
      </w:r>
      <w:r>
        <w:rPr>
          <w:rFonts w:hint="eastAsia" w:ascii="TimesNewRoman" w:hAnsi="TimesNewRoman" w:eastAsia="仿宋_GB2312" w:cs="TimesNewRoman"/>
          <w:kern w:val="0"/>
          <w:sz w:val="32"/>
          <w:szCs w:val="32"/>
        </w:rPr>
        <w:t>主要包括：一般公共预算拨款收入</w:t>
      </w:r>
      <w:r>
        <w:rPr>
          <w:rFonts w:hint="eastAsia" w:ascii="TimesNewRoman" w:hAnsi="TimesNewRoman" w:eastAsia="仿宋_GB2312" w:cs="TimesNewRoman"/>
          <w:sz w:val="32"/>
          <w:szCs w:val="32"/>
          <w:lang w:val="en-US" w:eastAsia="zh-CN"/>
        </w:rPr>
        <w:t>296.86</w:t>
      </w:r>
      <w:r>
        <w:rPr>
          <w:rFonts w:hint="eastAsia" w:ascii="TimesNewRoman" w:hAnsi="TimesNewRoman" w:eastAsia="仿宋_GB2312" w:cs="TimesNewRoman"/>
          <w:kern w:val="0"/>
          <w:sz w:val="32"/>
          <w:szCs w:val="32"/>
        </w:rPr>
        <w:t>万元，占</w:t>
      </w:r>
      <w:r>
        <w:rPr>
          <w:rFonts w:hint="eastAsia" w:ascii="TimesNewRoman" w:hAnsi="TimesNewRoman" w:eastAsia="仿宋_GB2312" w:cs="TimesNewRoman"/>
          <w:kern w:val="0"/>
          <w:sz w:val="32"/>
          <w:szCs w:val="32"/>
          <w:lang w:val="en-US" w:eastAsia="zh-CN"/>
        </w:rPr>
        <w:t>100</w:t>
      </w:r>
      <w:r>
        <w:rPr>
          <w:rFonts w:hint="eastAsia" w:ascii="TimesNewRoman" w:hAnsi="TimesNewRoman" w:eastAsia="仿宋_GB2312" w:cs="TimesNewRoman"/>
          <w:kern w:val="0"/>
          <w:sz w:val="32"/>
          <w:szCs w:val="32"/>
        </w:rPr>
        <w:t>%，比2024年预算减少</w:t>
      </w:r>
      <w:r>
        <w:rPr>
          <w:rFonts w:hint="eastAsia" w:ascii="TimesNewRoman" w:hAnsi="TimesNewRoman" w:eastAsia="仿宋_GB2312" w:cs="TimesNewRoman"/>
          <w:kern w:val="0"/>
          <w:sz w:val="32"/>
          <w:szCs w:val="32"/>
          <w:lang w:val="en-US" w:eastAsia="zh-CN"/>
        </w:rPr>
        <w:t>0.16</w:t>
      </w:r>
      <w:r>
        <w:rPr>
          <w:rFonts w:hint="eastAsia" w:ascii="TimesNewRoman" w:hAnsi="TimesNewRoman" w:eastAsia="仿宋_GB2312" w:cs="TimesNewRoman"/>
          <w:kern w:val="0"/>
          <w:sz w:val="32"/>
          <w:szCs w:val="32"/>
        </w:rPr>
        <w:t>万元，下降</w:t>
      </w:r>
      <w:r>
        <w:rPr>
          <w:rFonts w:hint="eastAsia" w:ascii="TimesNewRoman" w:hAnsi="TimesNewRoman" w:eastAsia="仿宋_GB2312" w:cs="TimesNewRoman"/>
          <w:kern w:val="0"/>
          <w:sz w:val="32"/>
          <w:szCs w:val="32"/>
          <w:lang w:val="en-US" w:eastAsia="zh-CN"/>
        </w:rPr>
        <w:t>0.05</w:t>
      </w:r>
      <w:r>
        <w:rPr>
          <w:rFonts w:hint="eastAsia" w:ascii="TimesNewRoman" w:hAnsi="TimesNewRoman" w:eastAsia="仿宋_GB2312" w:cs="TimesNewRoman"/>
          <w:kern w:val="0"/>
          <w:sz w:val="32"/>
          <w:szCs w:val="32"/>
        </w:rPr>
        <w:t>%，原因主要是</w:t>
      </w:r>
      <w:r>
        <w:rPr>
          <w:rFonts w:hint="eastAsia" w:ascii="TimesNewRoman" w:hAnsi="TimesNewRoman" w:eastAsia="仿宋_GB2312" w:cs="TimesNewRoman"/>
          <w:kern w:val="0"/>
          <w:sz w:val="32"/>
          <w:szCs w:val="32"/>
          <w:lang w:val="en-US" w:eastAsia="zh-CN"/>
        </w:rPr>
        <w:t>厉行节约，政策性压减</w:t>
      </w:r>
      <w:r>
        <w:rPr>
          <w:rFonts w:hint="eastAsia" w:ascii="TimesNewRoman" w:hAnsi="TimesNewRoman" w:eastAsia="仿宋_GB2312" w:cs="TimesNewRoman"/>
          <w:kern w:val="0"/>
          <w:sz w:val="32"/>
          <w:szCs w:val="32"/>
        </w:rPr>
        <w:t>；政府性基金预算拨款收入</w:t>
      </w:r>
      <w:r>
        <w:rPr>
          <w:rFonts w:hint="default"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lang w:val="en-US" w:eastAsia="zh-CN"/>
        </w:rPr>
        <w:t>.</w:t>
      </w:r>
      <w:r>
        <w:rPr>
          <w:rFonts w:hint="default" w:ascii="TimesNewRoman" w:hAnsi="TimesNewRoman" w:eastAsia="仿宋_GB2312" w:cs="TimesNewRoman"/>
          <w:kern w:val="0"/>
          <w:sz w:val="32"/>
          <w:szCs w:val="32"/>
          <w:lang w:val="en-US" w:eastAsia="zh-CN"/>
        </w:rPr>
        <w:t>00</w:t>
      </w:r>
      <w:r>
        <w:rPr>
          <w:rFonts w:hint="eastAsia" w:ascii="TimesNewRoman" w:hAnsi="TimesNewRoman" w:eastAsia="仿宋_GB2312" w:cs="TimesNewRoman"/>
          <w:kern w:val="0"/>
          <w:sz w:val="32"/>
          <w:szCs w:val="32"/>
        </w:rPr>
        <w:t>万元，占</w:t>
      </w:r>
      <w:r>
        <w:rPr>
          <w:rFonts w:hint="default"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w:t>
      </w:r>
      <w:r>
        <w:rPr>
          <w:rFonts w:hint="eastAsia" w:ascii="TimesNewRoman" w:hAnsi="TimesNewRoman" w:eastAsia="仿宋_GB2312" w:cs="TimesNewRoman"/>
          <w:kern w:val="0"/>
          <w:sz w:val="32"/>
          <w:szCs w:val="32"/>
          <w:lang w:val="en-US" w:eastAsia="zh-CN"/>
        </w:rPr>
        <w:t>与</w:t>
      </w:r>
      <w:r>
        <w:rPr>
          <w:rFonts w:hint="default" w:ascii="TimesNewRoman" w:hAnsi="TimesNewRoman" w:eastAsia="仿宋_GB2312" w:cs="TimesNewRoman"/>
          <w:kern w:val="0"/>
          <w:sz w:val="32"/>
          <w:szCs w:val="32"/>
        </w:rPr>
        <w:t>202</w:t>
      </w:r>
      <w:r>
        <w:rPr>
          <w:rFonts w:hint="eastAsia" w:ascii="TimesNewRoman" w:hAnsi="TimesNewRoman" w:eastAsia="仿宋_GB2312" w:cs="TimesNewRoman"/>
          <w:kern w:val="0"/>
          <w:sz w:val="32"/>
          <w:szCs w:val="32"/>
          <w:lang w:val="en-US" w:eastAsia="zh-CN"/>
        </w:rPr>
        <w:t>4</w:t>
      </w:r>
      <w:r>
        <w:rPr>
          <w:rFonts w:hint="eastAsia" w:ascii="TimesNewRoman" w:hAnsi="TimesNewRoman" w:eastAsia="仿宋_GB2312" w:cs="TimesNewRoman"/>
          <w:kern w:val="0"/>
          <w:sz w:val="32"/>
          <w:szCs w:val="32"/>
        </w:rPr>
        <w:t>年预算</w:t>
      </w:r>
      <w:r>
        <w:rPr>
          <w:rFonts w:hint="eastAsia" w:ascii="TimesNewRoman" w:hAnsi="TimesNewRoman" w:eastAsia="仿宋_GB2312" w:cs="TimesNewRoman"/>
          <w:kern w:val="0"/>
          <w:sz w:val="32"/>
          <w:szCs w:val="32"/>
          <w:lang w:val="en-US" w:eastAsia="zh-CN"/>
        </w:rPr>
        <w:t>相比无变化</w:t>
      </w:r>
      <w:r>
        <w:rPr>
          <w:rFonts w:hint="eastAsia" w:ascii="TimesNewRoman" w:hAnsi="TimesNewRoman" w:eastAsia="仿宋_GB2312" w:cs="TimesNewRoman"/>
          <w:kern w:val="0"/>
          <w:sz w:val="32"/>
          <w:szCs w:val="32"/>
        </w:rPr>
        <w:t>；财政专户管理资金收入</w:t>
      </w:r>
      <w:r>
        <w:rPr>
          <w:rFonts w:hint="default"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lang w:val="en-US" w:eastAsia="zh-CN"/>
        </w:rPr>
        <w:t>.</w:t>
      </w:r>
      <w:r>
        <w:rPr>
          <w:rFonts w:hint="default" w:ascii="TimesNewRoman" w:hAnsi="TimesNewRoman" w:eastAsia="仿宋_GB2312" w:cs="TimesNewRoman"/>
          <w:kern w:val="0"/>
          <w:sz w:val="32"/>
          <w:szCs w:val="32"/>
          <w:lang w:val="en-US" w:eastAsia="zh-CN"/>
        </w:rPr>
        <w:t>00</w:t>
      </w:r>
      <w:r>
        <w:rPr>
          <w:rFonts w:hint="eastAsia" w:ascii="TimesNewRoman" w:hAnsi="TimesNewRoman" w:eastAsia="仿宋_GB2312" w:cs="TimesNewRoman"/>
          <w:kern w:val="0"/>
          <w:sz w:val="32"/>
          <w:szCs w:val="32"/>
        </w:rPr>
        <w:t>万元，占</w:t>
      </w:r>
      <w:r>
        <w:rPr>
          <w:rFonts w:hint="default"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w:t>
      </w:r>
      <w:r>
        <w:rPr>
          <w:rFonts w:hint="eastAsia" w:ascii="TimesNewRoman" w:hAnsi="TimesNewRoman" w:eastAsia="仿宋_GB2312" w:cs="TimesNewRoman"/>
          <w:kern w:val="0"/>
          <w:sz w:val="32"/>
          <w:szCs w:val="32"/>
          <w:lang w:val="en-US" w:eastAsia="zh-CN"/>
        </w:rPr>
        <w:t>与</w:t>
      </w:r>
      <w:r>
        <w:rPr>
          <w:rFonts w:hint="default" w:ascii="TimesNewRoman" w:hAnsi="TimesNewRoman" w:eastAsia="仿宋_GB2312" w:cs="TimesNewRoman"/>
          <w:kern w:val="0"/>
          <w:sz w:val="32"/>
          <w:szCs w:val="32"/>
        </w:rPr>
        <w:t>202</w:t>
      </w:r>
      <w:r>
        <w:rPr>
          <w:rFonts w:hint="eastAsia" w:ascii="TimesNewRoman" w:hAnsi="TimesNewRoman" w:eastAsia="仿宋_GB2312" w:cs="TimesNewRoman"/>
          <w:kern w:val="0"/>
          <w:sz w:val="32"/>
          <w:szCs w:val="32"/>
          <w:lang w:val="en-US" w:eastAsia="zh-CN"/>
        </w:rPr>
        <w:t>4</w:t>
      </w:r>
      <w:r>
        <w:rPr>
          <w:rFonts w:hint="eastAsia" w:ascii="TimesNewRoman" w:hAnsi="TimesNewRoman" w:eastAsia="仿宋_GB2312" w:cs="TimesNewRoman"/>
          <w:kern w:val="0"/>
          <w:sz w:val="32"/>
          <w:szCs w:val="32"/>
        </w:rPr>
        <w:t>年预算</w:t>
      </w:r>
      <w:r>
        <w:rPr>
          <w:rFonts w:hint="eastAsia" w:ascii="TimesNewRoman" w:hAnsi="TimesNewRoman" w:eastAsia="仿宋_GB2312" w:cs="TimesNewRoman"/>
          <w:kern w:val="0"/>
          <w:sz w:val="32"/>
          <w:szCs w:val="32"/>
          <w:lang w:val="en-US" w:eastAsia="zh-CN"/>
        </w:rPr>
        <w:t>相比无变化</w:t>
      </w:r>
      <w:r>
        <w:rPr>
          <w:rFonts w:hint="eastAsia" w:ascii="TimesNewRoman" w:hAnsi="TimesNewRoman" w:eastAsia="仿宋_GB2312" w:cs="TimesNewRoman"/>
          <w:kern w:val="0"/>
          <w:sz w:val="32"/>
          <w:szCs w:val="32"/>
        </w:rPr>
        <w:t>。</w:t>
      </w:r>
    </w:p>
    <w:p w14:paraId="2C516243">
      <w:pPr>
        <w:pStyle w:val="5"/>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三、关于2025年支出总表的说明</w:t>
      </w:r>
    </w:p>
    <w:p w14:paraId="7127FFDE">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lang w:eastAsia="zh-CN"/>
        </w:rPr>
        <w:t>淮北市科学技术协会（本级）</w:t>
      </w:r>
      <w:r>
        <w:rPr>
          <w:rFonts w:hint="eastAsia" w:ascii="TimesNewRoman" w:hAnsi="TimesNewRoman" w:eastAsia="仿宋_GB2312" w:cs="TimesNewRoman"/>
          <w:kern w:val="0"/>
          <w:sz w:val="32"/>
          <w:szCs w:val="32"/>
        </w:rPr>
        <w:t>2025年支出预算</w:t>
      </w:r>
      <w:r>
        <w:rPr>
          <w:rFonts w:hint="eastAsia" w:ascii="TimesNewRoman" w:hAnsi="TimesNewRoman" w:eastAsia="仿宋_GB2312" w:cs="TimesNewRoman"/>
          <w:sz w:val="32"/>
          <w:szCs w:val="32"/>
          <w:lang w:val="en-US" w:eastAsia="zh-CN"/>
        </w:rPr>
        <w:t>296.86</w:t>
      </w:r>
      <w:r>
        <w:rPr>
          <w:rFonts w:hint="eastAsia" w:ascii="TimesNewRoman" w:hAnsi="TimesNewRoman" w:eastAsia="仿宋_GB2312" w:cs="TimesNewRoman"/>
          <w:kern w:val="0"/>
          <w:sz w:val="32"/>
          <w:szCs w:val="32"/>
        </w:rPr>
        <w:t>万元，比2024年预算减少</w:t>
      </w:r>
      <w:r>
        <w:rPr>
          <w:rFonts w:hint="eastAsia" w:ascii="TimesNewRoman" w:hAnsi="TimesNewRoman" w:eastAsia="仿宋_GB2312" w:cs="TimesNewRoman"/>
          <w:kern w:val="0"/>
          <w:sz w:val="32"/>
          <w:szCs w:val="32"/>
          <w:lang w:val="en-US" w:eastAsia="zh-CN"/>
        </w:rPr>
        <w:t>0.16</w:t>
      </w:r>
      <w:r>
        <w:rPr>
          <w:rFonts w:hint="eastAsia" w:ascii="TimesNewRoman" w:hAnsi="TimesNewRoman" w:eastAsia="仿宋_GB2312" w:cs="TimesNewRoman"/>
          <w:kern w:val="0"/>
          <w:sz w:val="32"/>
          <w:szCs w:val="32"/>
        </w:rPr>
        <w:t>万元，下降</w:t>
      </w:r>
      <w:r>
        <w:rPr>
          <w:rFonts w:hint="eastAsia" w:ascii="TimesNewRoman" w:hAnsi="TimesNewRoman" w:eastAsia="仿宋_GB2312" w:cs="TimesNewRoman"/>
          <w:kern w:val="0"/>
          <w:sz w:val="32"/>
          <w:szCs w:val="32"/>
          <w:lang w:val="en-US" w:eastAsia="zh-CN"/>
        </w:rPr>
        <w:t>0.05</w:t>
      </w:r>
      <w:r>
        <w:rPr>
          <w:rFonts w:hint="eastAsia" w:ascii="TimesNewRoman" w:hAnsi="TimesNewRoman" w:eastAsia="仿宋_GB2312" w:cs="TimesNewRoman"/>
          <w:kern w:val="0"/>
          <w:sz w:val="32"/>
          <w:szCs w:val="32"/>
        </w:rPr>
        <w:t>%，原因主要是</w:t>
      </w:r>
      <w:r>
        <w:rPr>
          <w:rFonts w:hint="eastAsia" w:ascii="TimesNewRoman" w:hAnsi="TimesNewRoman" w:eastAsia="仿宋_GB2312" w:cs="TimesNewRoman"/>
          <w:kern w:val="0"/>
          <w:sz w:val="32"/>
          <w:szCs w:val="32"/>
          <w:lang w:val="en-US" w:eastAsia="zh-CN"/>
        </w:rPr>
        <w:t>厉行节约，政策性压减</w:t>
      </w:r>
      <w:r>
        <w:rPr>
          <w:rFonts w:hint="eastAsia" w:ascii="TimesNewRoman" w:hAnsi="TimesNewRoman" w:eastAsia="仿宋_GB2312" w:cs="TimesNewRoman"/>
          <w:kern w:val="0"/>
          <w:sz w:val="32"/>
          <w:szCs w:val="32"/>
        </w:rPr>
        <w:t>。其中，基本支出</w:t>
      </w:r>
      <w:r>
        <w:rPr>
          <w:rFonts w:hint="eastAsia" w:ascii="TimesNewRoman" w:hAnsi="TimesNewRoman" w:eastAsia="仿宋_GB2312" w:cs="TimesNewRoman"/>
          <w:kern w:val="0"/>
          <w:sz w:val="32"/>
          <w:szCs w:val="32"/>
          <w:lang w:val="en-US" w:eastAsia="zh-CN"/>
        </w:rPr>
        <w:t>273.66</w:t>
      </w:r>
      <w:r>
        <w:rPr>
          <w:rFonts w:hint="eastAsia" w:ascii="TimesNewRoman" w:hAnsi="TimesNewRoman" w:eastAsia="仿宋_GB2312" w:cs="TimesNewRoman"/>
          <w:kern w:val="0"/>
          <w:sz w:val="32"/>
          <w:szCs w:val="32"/>
        </w:rPr>
        <w:t>万元，占</w:t>
      </w:r>
      <w:r>
        <w:rPr>
          <w:rFonts w:hint="eastAsia" w:ascii="TimesNewRoman" w:hAnsi="TimesNewRoman" w:eastAsia="仿宋_GB2312" w:cs="TimesNewRoman"/>
          <w:kern w:val="0"/>
          <w:sz w:val="32"/>
          <w:szCs w:val="32"/>
          <w:lang w:val="en-US" w:eastAsia="zh-CN"/>
        </w:rPr>
        <w:t>92.18</w:t>
      </w:r>
      <w:r>
        <w:rPr>
          <w:rFonts w:hint="eastAsia" w:ascii="TimesNewRoman" w:hAnsi="TimesNewRoman" w:eastAsia="仿宋_GB2312" w:cs="TimesNewRoman"/>
          <w:kern w:val="0"/>
          <w:sz w:val="32"/>
          <w:szCs w:val="32"/>
        </w:rPr>
        <w:t>%，主要用于保障机构日常运转、完成日常工作任务；项目支出</w:t>
      </w:r>
      <w:r>
        <w:rPr>
          <w:rFonts w:hint="eastAsia" w:ascii="TimesNewRoman" w:hAnsi="TimesNewRoman" w:eastAsia="仿宋_GB2312" w:cs="TimesNewRoman"/>
          <w:kern w:val="0"/>
          <w:sz w:val="32"/>
          <w:szCs w:val="32"/>
          <w:lang w:val="en-US" w:eastAsia="zh-CN"/>
        </w:rPr>
        <w:t>23.20</w:t>
      </w:r>
      <w:r>
        <w:rPr>
          <w:rFonts w:hint="eastAsia" w:ascii="TimesNewRoman" w:hAnsi="TimesNewRoman" w:eastAsia="仿宋_GB2312" w:cs="TimesNewRoman"/>
          <w:kern w:val="0"/>
          <w:sz w:val="32"/>
          <w:szCs w:val="32"/>
        </w:rPr>
        <w:t>万元，占</w:t>
      </w:r>
      <w:r>
        <w:rPr>
          <w:rFonts w:hint="eastAsia" w:ascii="TimesNewRoman" w:hAnsi="TimesNewRoman" w:eastAsia="仿宋_GB2312" w:cs="TimesNewRoman"/>
          <w:kern w:val="0"/>
          <w:sz w:val="32"/>
          <w:szCs w:val="32"/>
          <w:lang w:val="en-US" w:eastAsia="zh-CN"/>
        </w:rPr>
        <w:t>7.82</w:t>
      </w:r>
      <w:r>
        <w:rPr>
          <w:rFonts w:hint="eastAsia" w:ascii="TimesNewRoman" w:hAnsi="TimesNewRoman" w:eastAsia="仿宋_GB2312" w:cs="TimesNewRoman"/>
          <w:kern w:val="0"/>
          <w:sz w:val="32"/>
          <w:szCs w:val="32"/>
        </w:rPr>
        <w:t>%，主要用于</w:t>
      </w:r>
      <w:r>
        <w:rPr>
          <w:rFonts w:hint="eastAsia" w:ascii="仿宋_GB2312" w:hAnsi="仿宋" w:eastAsia="仿宋_GB2312" w:cs="Times New Roman"/>
          <w:kern w:val="2"/>
          <w:sz w:val="32"/>
          <w:szCs w:val="32"/>
        </w:rPr>
        <w:t>开展学术交流，普及科学知识，推广先进技术，开展青少年科技教育活动</w:t>
      </w:r>
      <w:r>
        <w:rPr>
          <w:rFonts w:hint="eastAsia" w:ascii="仿宋_GB2312" w:hAnsi="仿宋" w:eastAsia="仿宋_GB2312" w:cs="Times New Roman"/>
          <w:kern w:val="2"/>
          <w:sz w:val="32"/>
          <w:szCs w:val="32"/>
          <w:lang w:val="en-US" w:eastAsia="zh-CN"/>
        </w:rPr>
        <w:t>等</w:t>
      </w:r>
      <w:r>
        <w:rPr>
          <w:rFonts w:hint="eastAsia" w:ascii="TimesNewRoman" w:hAnsi="TimesNewRoman" w:eastAsia="仿宋_GB2312" w:cs="TimesNewRoman"/>
          <w:kern w:val="0"/>
          <w:sz w:val="32"/>
          <w:szCs w:val="32"/>
        </w:rPr>
        <w:t>。</w:t>
      </w:r>
    </w:p>
    <w:p w14:paraId="725DC14F">
      <w:pPr>
        <w:pStyle w:val="5"/>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四、关于2025年财政拨款收支总表的说明</w:t>
      </w:r>
    </w:p>
    <w:p w14:paraId="7D454711">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lang w:eastAsia="zh-CN"/>
        </w:rPr>
        <w:t>淮北市科学技术协会（本级）</w:t>
      </w:r>
      <w:r>
        <w:rPr>
          <w:rFonts w:hint="eastAsia" w:ascii="TimesNewRoman" w:hAnsi="TimesNewRoman" w:eastAsia="仿宋_GB2312" w:cs="TimesNewRoman"/>
          <w:kern w:val="0"/>
          <w:sz w:val="32"/>
          <w:szCs w:val="32"/>
        </w:rPr>
        <w:t>2025年财政拨款收支预算</w:t>
      </w:r>
      <w:r>
        <w:rPr>
          <w:rFonts w:hint="eastAsia" w:ascii="TimesNewRoman" w:hAnsi="TimesNewRoman" w:eastAsia="仿宋_GB2312" w:cs="TimesNewRoman"/>
          <w:sz w:val="32"/>
          <w:szCs w:val="32"/>
          <w:lang w:val="en-US" w:eastAsia="zh-CN"/>
        </w:rPr>
        <w:t>296.86</w:t>
      </w:r>
      <w:r>
        <w:rPr>
          <w:rFonts w:hint="eastAsia" w:ascii="TimesNewRoman" w:hAnsi="TimesNewRoman" w:eastAsia="仿宋_GB2312" w:cs="TimesNewRoman"/>
          <w:kern w:val="0"/>
          <w:sz w:val="32"/>
          <w:szCs w:val="32"/>
        </w:rPr>
        <w:t>万元。收入按资金来源分为：一般公共预算拨款</w:t>
      </w:r>
      <w:r>
        <w:rPr>
          <w:rFonts w:hint="eastAsia" w:ascii="TimesNewRoman" w:hAnsi="TimesNewRoman" w:eastAsia="仿宋_GB2312" w:cs="TimesNewRoman"/>
          <w:sz w:val="32"/>
          <w:szCs w:val="32"/>
          <w:lang w:val="en-US" w:eastAsia="zh-CN"/>
        </w:rPr>
        <w:t>296.86</w:t>
      </w:r>
      <w:r>
        <w:rPr>
          <w:rFonts w:hint="eastAsia" w:ascii="TimesNewRoman" w:hAnsi="TimesNewRoman" w:eastAsia="仿宋_GB2312" w:cs="TimesNewRoman"/>
          <w:kern w:val="0"/>
          <w:sz w:val="32"/>
          <w:szCs w:val="32"/>
        </w:rPr>
        <w:t>万元、政府性基金预算拨款</w:t>
      </w:r>
      <w:r>
        <w:rPr>
          <w:rFonts w:hint="eastAsia" w:ascii="TimesNewRoman" w:hAnsi="TimesNewRoman" w:eastAsia="仿宋_GB2312" w:cs="TimesNewRoman"/>
          <w:kern w:val="0"/>
          <w:sz w:val="32"/>
          <w:szCs w:val="32"/>
          <w:lang w:val="en-US" w:eastAsia="zh-CN"/>
        </w:rPr>
        <w:t>0.00</w:t>
      </w:r>
      <w:r>
        <w:rPr>
          <w:rFonts w:hint="eastAsia" w:ascii="TimesNewRoman" w:hAnsi="TimesNewRoman" w:eastAsia="仿宋_GB2312" w:cs="TimesNewRoman"/>
          <w:kern w:val="0"/>
          <w:sz w:val="32"/>
          <w:szCs w:val="32"/>
        </w:rPr>
        <w:t>万元；按资金年度分为：本年财政拨款收入</w:t>
      </w:r>
      <w:r>
        <w:rPr>
          <w:rFonts w:hint="eastAsia" w:ascii="TimesNewRoman" w:hAnsi="TimesNewRoman" w:eastAsia="仿宋_GB2312" w:cs="TimesNewRoman"/>
          <w:kern w:val="0"/>
          <w:sz w:val="32"/>
          <w:szCs w:val="32"/>
          <w:lang w:val="en-US" w:eastAsia="zh-CN"/>
        </w:rPr>
        <w:t>0.00</w:t>
      </w:r>
      <w:r>
        <w:rPr>
          <w:rFonts w:hint="eastAsia" w:ascii="TimesNewRoman" w:hAnsi="TimesNewRoman" w:eastAsia="仿宋_GB2312" w:cs="TimesNewRoman"/>
          <w:kern w:val="0"/>
          <w:sz w:val="32"/>
          <w:szCs w:val="32"/>
        </w:rPr>
        <w:t>万元。支出按功能分类分为：一般公共服务支出</w:t>
      </w:r>
      <w:r>
        <w:rPr>
          <w:rFonts w:hint="eastAsia" w:ascii="TimesNewRoman" w:hAnsi="TimesNewRoman" w:eastAsia="仿宋_GB2312" w:cs="TimesNewRoman"/>
          <w:kern w:val="0"/>
          <w:sz w:val="32"/>
          <w:szCs w:val="32"/>
          <w:lang w:val="en-US" w:eastAsia="zh-CN"/>
        </w:rPr>
        <w:t>54.32</w:t>
      </w:r>
      <w:r>
        <w:rPr>
          <w:rFonts w:hint="eastAsia" w:ascii="TimesNewRoman" w:hAnsi="TimesNewRoman" w:eastAsia="仿宋_GB2312" w:cs="TimesNewRoman"/>
          <w:kern w:val="0"/>
          <w:sz w:val="32"/>
          <w:szCs w:val="32"/>
        </w:rPr>
        <w:t>万元，占</w:t>
      </w:r>
      <w:r>
        <w:rPr>
          <w:rFonts w:hint="eastAsia" w:ascii="TimesNewRoman" w:hAnsi="TimesNewRoman" w:eastAsia="仿宋_GB2312" w:cs="TimesNewRoman"/>
          <w:kern w:val="0"/>
          <w:sz w:val="32"/>
          <w:szCs w:val="32"/>
          <w:lang w:val="en-US" w:eastAsia="zh-CN"/>
        </w:rPr>
        <w:t>18.30</w:t>
      </w:r>
      <w:r>
        <w:rPr>
          <w:rFonts w:hint="eastAsia" w:ascii="TimesNewRoman" w:hAnsi="TimesNewRoman" w:eastAsia="仿宋_GB2312" w:cs="TimesNewRoman"/>
          <w:kern w:val="0"/>
          <w:sz w:val="32"/>
          <w:szCs w:val="32"/>
        </w:rPr>
        <w:t>%；</w:t>
      </w:r>
      <w:r>
        <w:rPr>
          <w:rFonts w:hint="eastAsia" w:ascii="TimesNewRoman" w:hAnsi="TimesNewRoman" w:eastAsia="仿宋_GB2312" w:cs="TimesNewRoman"/>
          <w:kern w:val="0"/>
          <w:sz w:val="32"/>
          <w:szCs w:val="32"/>
          <w:lang w:val="en-US" w:eastAsia="zh-CN"/>
        </w:rPr>
        <w:t>科学技术支出124.97</w:t>
      </w:r>
      <w:r>
        <w:rPr>
          <w:rFonts w:hint="eastAsia" w:ascii="TimesNewRoman" w:hAnsi="TimesNewRoman" w:eastAsia="仿宋_GB2312" w:cs="TimesNewRoman"/>
          <w:kern w:val="0"/>
          <w:sz w:val="32"/>
          <w:szCs w:val="32"/>
        </w:rPr>
        <w:t>万元，占</w:t>
      </w:r>
      <w:r>
        <w:rPr>
          <w:rFonts w:hint="eastAsia" w:ascii="TimesNewRoman" w:hAnsi="TimesNewRoman" w:eastAsia="仿宋_GB2312" w:cs="TimesNewRoman"/>
          <w:kern w:val="0"/>
          <w:sz w:val="32"/>
          <w:szCs w:val="32"/>
          <w:lang w:val="en-US" w:eastAsia="zh-CN"/>
        </w:rPr>
        <w:t>42.10</w:t>
      </w:r>
      <w:r>
        <w:rPr>
          <w:rFonts w:hint="eastAsia" w:ascii="TimesNewRoman" w:hAnsi="TimesNewRoman" w:eastAsia="仿宋_GB2312" w:cs="TimesNewRoman"/>
          <w:kern w:val="0"/>
          <w:sz w:val="32"/>
          <w:szCs w:val="32"/>
        </w:rPr>
        <w:t>%；社会保障和就业支出</w:t>
      </w:r>
      <w:r>
        <w:rPr>
          <w:rFonts w:hint="eastAsia" w:ascii="TimesNewRoman" w:hAnsi="TimesNewRoman" w:eastAsia="仿宋_GB2312" w:cs="TimesNewRoman"/>
          <w:kern w:val="0"/>
          <w:sz w:val="32"/>
          <w:szCs w:val="32"/>
          <w:lang w:val="en-US" w:eastAsia="zh-CN"/>
        </w:rPr>
        <w:t>74.88</w:t>
      </w:r>
      <w:r>
        <w:rPr>
          <w:rFonts w:hint="eastAsia" w:ascii="TimesNewRoman" w:hAnsi="TimesNewRoman" w:eastAsia="仿宋_GB2312" w:cs="TimesNewRoman"/>
          <w:kern w:val="0"/>
          <w:sz w:val="32"/>
          <w:szCs w:val="32"/>
        </w:rPr>
        <w:t>万元，占</w:t>
      </w:r>
      <w:r>
        <w:rPr>
          <w:rFonts w:hint="eastAsia" w:ascii="TimesNewRoman" w:hAnsi="TimesNewRoman" w:eastAsia="仿宋_GB2312" w:cs="TimesNewRoman"/>
          <w:kern w:val="0"/>
          <w:sz w:val="32"/>
          <w:szCs w:val="32"/>
          <w:lang w:val="en-US" w:eastAsia="zh-CN"/>
        </w:rPr>
        <w:t>25.22</w:t>
      </w:r>
      <w:r>
        <w:rPr>
          <w:rFonts w:hint="eastAsia" w:ascii="TimesNewRoman" w:hAnsi="TimesNewRoman" w:eastAsia="仿宋_GB2312" w:cs="TimesNewRoman"/>
          <w:kern w:val="0"/>
          <w:sz w:val="32"/>
          <w:szCs w:val="32"/>
        </w:rPr>
        <w:t>%；卫生健康支出</w:t>
      </w:r>
      <w:r>
        <w:rPr>
          <w:rFonts w:hint="eastAsia" w:ascii="TimesNewRoman" w:hAnsi="TimesNewRoman" w:eastAsia="仿宋_GB2312" w:cs="TimesNewRoman"/>
          <w:kern w:val="0"/>
          <w:sz w:val="32"/>
          <w:szCs w:val="32"/>
          <w:lang w:val="en-US" w:eastAsia="zh-CN"/>
        </w:rPr>
        <w:t>8.71</w:t>
      </w:r>
      <w:r>
        <w:rPr>
          <w:rFonts w:hint="eastAsia" w:ascii="TimesNewRoman" w:hAnsi="TimesNewRoman" w:eastAsia="仿宋_GB2312" w:cs="TimesNewRoman"/>
          <w:kern w:val="0"/>
          <w:sz w:val="32"/>
          <w:szCs w:val="32"/>
        </w:rPr>
        <w:t>万元，占</w:t>
      </w:r>
      <w:r>
        <w:rPr>
          <w:rFonts w:hint="eastAsia" w:ascii="TimesNewRoman" w:hAnsi="TimesNewRoman" w:eastAsia="仿宋_GB2312" w:cs="TimesNewRoman"/>
          <w:kern w:val="0"/>
          <w:sz w:val="32"/>
          <w:szCs w:val="32"/>
          <w:lang w:val="en-US" w:eastAsia="zh-CN"/>
        </w:rPr>
        <w:t>2.93</w:t>
      </w:r>
      <w:r>
        <w:rPr>
          <w:rFonts w:hint="eastAsia" w:ascii="TimesNewRoman" w:hAnsi="TimesNewRoman" w:eastAsia="仿宋_GB2312" w:cs="TimesNewRoman"/>
          <w:kern w:val="0"/>
          <w:sz w:val="32"/>
          <w:szCs w:val="32"/>
        </w:rPr>
        <w:t>%；住房保障支出</w:t>
      </w:r>
      <w:r>
        <w:rPr>
          <w:rFonts w:hint="eastAsia" w:ascii="TimesNewRoman" w:hAnsi="TimesNewRoman" w:eastAsia="仿宋_GB2312" w:cs="TimesNewRoman"/>
          <w:kern w:val="0"/>
          <w:sz w:val="32"/>
          <w:szCs w:val="32"/>
          <w:lang w:val="en-US" w:eastAsia="zh-CN"/>
        </w:rPr>
        <w:t>33.99</w:t>
      </w:r>
      <w:r>
        <w:rPr>
          <w:rFonts w:hint="eastAsia" w:ascii="TimesNewRoman" w:hAnsi="TimesNewRoman" w:eastAsia="仿宋_GB2312" w:cs="TimesNewRoman"/>
          <w:kern w:val="0"/>
          <w:sz w:val="32"/>
          <w:szCs w:val="32"/>
        </w:rPr>
        <w:t>万元，占</w:t>
      </w:r>
      <w:r>
        <w:rPr>
          <w:rFonts w:hint="eastAsia" w:ascii="TimesNewRoman" w:hAnsi="TimesNewRoman" w:eastAsia="仿宋_GB2312" w:cs="TimesNewRoman"/>
          <w:kern w:val="0"/>
          <w:sz w:val="32"/>
          <w:szCs w:val="32"/>
          <w:lang w:val="en-US" w:eastAsia="zh-CN"/>
        </w:rPr>
        <w:t>11.45</w:t>
      </w:r>
      <w:r>
        <w:rPr>
          <w:rFonts w:hint="eastAsia" w:ascii="TimesNewRoman" w:hAnsi="TimesNewRoman" w:eastAsia="仿宋_GB2312" w:cs="TimesNewRoman"/>
          <w:kern w:val="0"/>
          <w:sz w:val="32"/>
          <w:szCs w:val="32"/>
        </w:rPr>
        <w:t>%。</w:t>
      </w:r>
    </w:p>
    <w:p w14:paraId="4EF0EE6E">
      <w:pPr>
        <w:pStyle w:val="5"/>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五、关于2025年一般公共预算支出表的说明</w:t>
      </w:r>
    </w:p>
    <w:p w14:paraId="08CA5F10">
      <w:pPr>
        <w:pStyle w:val="5"/>
        <w:adjustRightInd w:val="0"/>
        <w:snapToGrid w:val="0"/>
        <w:spacing w:line="560" w:lineRule="exact"/>
        <w:ind w:firstLine="630" w:firstLineChars="196"/>
        <w:rPr>
          <w:rFonts w:ascii="TimesNewRoman" w:hAnsi="TimesNewRoman" w:eastAsia="楷体_GB2312" w:cs="TimesNewRoman"/>
          <w:b/>
          <w:sz w:val="32"/>
          <w:szCs w:val="32"/>
        </w:rPr>
      </w:pPr>
      <w:r>
        <w:rPr>
          <w:rFonts w:hint="eastAsia" w:ascii="TimesNewRoman" w:hAnsi="TimesNewRoman" w:eastAsia="楷体_GB2312" w:cs="TimesNewRoman"/>
          <w:b/>
          <w:sz w:val="32"/>
          <w:szCs w:val="32"/>
        </w:rPr>
        <w:t>（一）一般公共预算支出规模变化情况。</w:t>
      </w:r>
    </w:p>
    <w:p w14:paraId="546D4091">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lang w:eastAsia="zh-CN"/>
        </w:rPr>
        <w:t>淮北市科学技术协会（本级）</w:t>
      </w:r>
      <w:r>
        <w:rPr>
          <w:rFonts w:hint="eastAsia" w:ascii="TimesNewRoman" w:hAnsi="TimesNewRoman" w:eastAsia="仿宋_GB2312" w:cs="TimesNewRoman"/>
          <w:kern w:val="0"/>
          <w:sz w:val="32"/>
          <w:szCs w:val="32"/>
        </w:rPr>
        <w:t>2025年一般公共预算支出</w:t>
      </w:r>
      <w:r>
        <w:rPr>
          <w:rFonts w:hint="eastAsia" w:ascii="TimesNewRoman" w:hAnsi="TimesNewRoman" w:eastAsia="仿宋_GB2312" w:cs="TimesNewRoman"/>
          <w:sz w:val="32"/>
          <w:szCs w:val="32"/>
          <w:lang w:val="en-US" w:eastAsia="zh-CN"/>
        </w:rPr>
        <w:t>296.86</w:t>
      </w:r>
      <w:r>
        <w:rPr>
          <w:rFonts w:hint="eastAsia" w:ascii="TimesNewRoman" w:hAnsi="TimesNewRoman" w:eastAsia="仿宋_GB2312" w:cs="TimesNewRoman"/>
          <w:kern w:val="0"/>
          <w:sz w:val="32"/>
          <w:szCs w:val="32"/>
        </w:rPr>
        <w:t>万元，比2024年预算减少</w:t>
      </w:r>
      <w:r>
        <w:rPr>
          <w:rFonts w:hint="eastAsia" w:ascii="TimesNewRoman" w:hAnsi="TimesNewRoman" w:eastAsia="仿宋_GB2312" w:cs="TimesNewRoman"/>
          <w:kern w:val="0"/>
          <w:sz w:val="32"/>
          <w:szCs w:val="32"/>
          <w:lang w:val="en-US" w:eastAsia="zh-CN"/>
        </w:rPr>
        <w:t>0.16</w:t>
      </w:r>
      <w:r>
        <w:rPr>
          <w:rFonts w:hint="eastAsia" w:ascii="TimesNewRoman" w:hAnsi="TimesNewRoman" w:eastAsia="仿宋_GB2312" w:cs="TimesNewRoman"/>
          <w:kern w:val="0"/>
          <w:sz w:val="32"/>
          <w:szCs w:val="32"/>
        </w:rPr>
        <w:t>万元，下降</w:t>
      </w:r>
      <w:r>
        <w:rPr>
          <w:rFonts w:hint="eastAsia" w:ascii="TimesNewRoman" w:hAnsi="TimesNewRoman" w:eastAsia="仿宋_GB2312" w:cs="TimesNewRoman"/>
          <w:kern w:val="0"/>
          <w:sz w:val="32"/>
          <w:szCs w:val="32"/>
          <w:lang w:val="en-US" w:eastAsia="zh-CN"/>
        </w:rPr>
        <w:t>0.05</w:t>
      </w:r>
      <w:r>
        <w:rPr>
          <w:rFonts w:hint="eastAsia" w:ascii="TimesNewRoman" w:hAnsi="TimesNewRoman" w:eastAsia="仿宋_GB2312" w:cs="TimesNewRoman"/>
          <w:kern w:val="0"/>
          <w:sz w:val="32"/>
          <w:szCs w:val="32"/>
        </w:rPr>
        <w:t>%，原因主要是</w:t>
      </w:r>
      <w:r>
        <w:rPr>
          <w:rFonts w:hint="eastAsia" w:ascii="TimesNewRoman" w:hAnsi="TimesNewRoman" w:eastAsia="仿宋_GB2312" w:cs="TimesNewRoman"/>
          <w:kern w:val="0"/>
          <w:sz w:val="32"/>
          <w:szCs w:val="32"/>
          <w:lang w:val="en-US" w:eastAsia="zh-CN"/>
        </w:rPr>
        <w:t>厉行节约，政策性压减</w:t>
      </w:r>
      <w:r>
        <w:rPr>
          <w:rFonts w:hint="eastAsia" w:ascii="TimesNewRoman" w:hAnsi="TimesNewRoman" w:eastAsia="仿宋_GB2312" w:cs="TimesNewRoman"/>
          <w:kern w:val="0"/>
          <w:sz w:val="32"/>
          <w:szCs w:val="32"/>
        </w:rPr>
        <w:t>。</w:t>
      </w:r>
    </w:p>
    <w:p w14:paraId="04797B2B">
      <w:pPr>
        <w:pStyle w:val="5"/>
        <w:adjustRightInd w:val="0"/>
        <w:snapToGrid w:val="0"/>
        <w:spacing w:line="560" w:lineRule="exact"/>
        <w:ind w:firstLine="630" w:firstLineChars="196"/>
        <w:rPr>
          <w:rFonts w:ascii="TimesNewRoman" w:hAnsi="TimesNewRoman" w:eastAsia="楷体_GB2312" w:cs="TimesNewRoman"/>
          <w:b/>
          <w:sz w:val="32"/>
          <w:szCs w:val="32"/>
        </w:rPr>
      </w:pPr>
      <w:r>
        <w:rPr>
          <w:rFonts w:hint="eastAsia" w:ascii="TimesNewRoman" w:hAnsi="TimesNewRoman" w:eastAsia="楷体_GB2312" w:cs="TimesNewRoman"/>
          <w:b/>
          <w:sz w:val="32"/>
          <w:szCs w:val="32"/>
        </w:rPr>
        <w:t>（二）一般公共预算支出结构情况。</w:t>
      </w:r>
    </w:p>
    <w:p w14:paraId="39F0E516">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一般公共服务支出</w:t>
      </w:r>
      <w:r>
        <w:rPr>
          <w:rFonts w:hint="eastAsia" w:ascii="TimesNewRoman" w:hAnsi="TimesNewRoman" w:eastAsia="仿宋_GB2312" w:cs="TimesNewRoman"/>
          <w:kern w:val="0"/>
          <w:sz w:val="32"/>
          <w:szCs w:val="32"/>
          <w:lang w:val="en-US" w:eastAsia="zh-CN"/>
        </w:rPr>
        <w:t>54.32</w:t>
      </w:r>
      <w:r>
        <w:rPr>
          <w:rFonts w:hint="eastAsia" w:ascii="TimesNewRoman" w:hAnsi="TimesNewRoman" w:eastAsia="仿宋_GB2312" w:cs="TimesNewRoman"/>
          <w:kern w:val="0"/>
          <w:sz w:val="32"/>
          <w:szCs w:val="32"/>
        </w:rPr>
        <w:t>万元，占</w:t>
      </w:r>
      <w:r>
        <w:rPr>
          <w:rFonts w:hint="eastAsia" w:ascii="TimesNewRoman" w:hAnsi="TimesNewRoman" w:eastAsia="仿宋_GB2312" w:cs="TimesNewRoman"/>
          <w:kern w:val="0"/>
          <w:sz w:val="32"/>
          <w:szCs w:val="32"/>
          <w:lang w:val="en-US" w:eastAsia="zh-CN"/>
        </w:rPr>
        <w:t>18.30</w:t>
      </w:r>
      <w:r>
        <w:rPr>
          <w:rFonts w:hint="eastAsia" w:ascii="TimesNewRoman" w:hAnsi="TimesNewRoman" w:eastAsia="仿宋_GB2312" w:cs="TimesNewRoman"/>
          <w:kern w:val="0"/>
          <w:sz w:val="32"/>
          <w:szCs w:val="32"/>
        </w:rPr>
        <w:t>%；</w:t>
      </w:r>
      <w:r>
        <w:rPr>
          <w:rFonts w:hint="eastAsia" w:ascii="TimesNewRoman" w:hAnsi="TimesNewRoman" w:eastAsia="仿宋_GB2312" w:cs="TimesNewRoman"/>
          <w:kern w:val="0"/>
          <w:sz w:val="32"/>
          <w:szCs w:val="32"/>
          <w:lang w:val="en-US" w:eastAsia="zh-CN"/>
        </w:rPr>
        <w:t>科学技术支出124.97</w:t>
      </w:r>
      <w:r>
        <w:rPr>
          <w:rFonts w:hint="eastAsia" w:ascii="TimesNewRoman" w:hAnsi="TimesNewRoman" w:eastAsia="仿宋_GB2312" w:cs="TimesNewRoman"/>
          <w:kern w:val="0"/>
          <w:sz w:val="32"/>
          <w:szCs w:val="32"/>
        </w:rPr>
        <w:t>万元，占</w:t>
      </w:r>
      <w:r>
        <w:rPr>
          <w:rFonts w:hint="eastAsia" w:ascii="TimesNewRoman" w:hAnsi="TimesNewRoman" w:eastAsia="仿宋_GB2312" w:cs="TimesNewRoman"/>
          <w:kern w:val="0"/>
          <w:sz w:val="32"/>
          <w:szCs w:val="32"/>
          <w:lang w:val="en-US" w:eastAsia="zh-CN"/>
        </w:rPr>
        <w:t>42.10</w:t>
      </w:r>
      <w:r>
        <w:rPr>
          <w:rFonts w:hint="eastAsia" w:ascii="TimesNewRoman" w:hAnsi="TimesNewRoman" w:eastAsia="仿宋_GB2312" w:cs="TimesNewRoman"/>
          <w:kern w:val="0"/>
          <w:sz w:val="32"/>
          <w:szCs w:val="32"/>
        </w:rPr>
        <w:t>%；社会保障和就业支出</w:t>
      </w:r>
      <w:r>
        <w:rPr>
          <w:rFonts w:hint="eastAsia" w:ascii="TimesNewRoman" w:hAnsi="TimesNewRoman" w:eastAsia="仿宋_GB2312" w:cs="TimesNewRoman"/>
          <w:kern w:val="0"/>
          <w:sz w:val="32"/>
          <w:szCs w:val="32"/>
          <w:lang w:val="en-US" w:eastAsia="zh-CN"/>
        </w:rPr>
        <w:t>74.88</w:t>
      </w:r>
      <w:r>
        <w:rPr>
          <w:rFonts w:hint="eastAsia" w:ascii="TimesNewRoman" w:hAnsi="TimesNewRoman" w:eastAsia="仿宋_GB2312" w:cs="TimesNewRoman"/>
          <w:kern w:val="0"/>
          <w:sz w:val="32"/>
          <w:szCs w:val="32"/>
        </w:rPr>
        <w:t>万元，占</w:t>
      </w:r>
      <w:r>
        <w:rPr>
          <w:rFonts w:hint="eastAsia" w:ascii="TimesNewRoman" w:hAnsi="TimesNewRoman" w:eastAsia="仿宋_GB2312" w:cs="TimesNewRoman"/>
          <w:kern w:val="0"/>
          <w:sz w:val="32"/>
          <w:szCs w:val="32"/>
          <w:lang w:val="en-US" w:eastAsia="zh-CN"/>
        </w:rPr>
        <w:t>25.22</w:t>
      </w:r>
      <w:r>
        <w:rPr>
          <w:rFonts w:hint="eastAsia" w:ascii="TimesNewRoman" w:hAnsi="TimesNewRoman" w:eastAsia="仿宋_GB2312" w:cs="TimesNewRoman"/>
          <w:kern w:val="0"/>
          <w:sz w:val="32"/>
          <w:szCs w:val="32"/>
        </w:rPr>
        <w:t>%；卫生健康支出</w:t>
      </w:r>
      <w:r>
        <w:rPr>
          <w:rFonts w:hint="eastAsia" w:ascii="TimesNewRoman" w:hAnsi="TimesNewRoman" w:eastAsia="仿宋_GB2312" w:cs="TimesNewRoman"/>
          <w:kern w:val="0"/>
          <w:sz w:val="32"/>
          <w:szCs w:val="32"/>
          <w:lang w:val="en-US" w:eastAsia="zh-CN"/>
        </w:rPr>
        <w:t>8.71</w:t>
      </w:r>
      <w:r>
        <w:rPr>
          <w:rFonts w:hint="eastAsia" w:ascii="TimesNewRoman" w:hAnsi="TimesNewRoman" w:eastAsia="仿宋_GB2312" w:cs="TimesNewRoman"/>
          <w:kern w:val="0"/>
          <w:sz w:val="32"/>
          <w:szCs w:val="32"/>
        </w:rPr>
        <w:t>万元，占</w:t>
      </w:r>
      <w:r>
        <w:rPr>
          <w:rFonts w:hint="eastAsia" w:ascii="TimesNewRoman" w:hAnsi="TimesNewRoman" w:eastAsia="仿宋_GB2312" w:cs="TimesNewRoman"/>
          <w:kern w:val="0"/>
          <w:sz w:val="32"/>
          <w:szCs w:val="32"/>
          <w:lang w:val="en-US" w:eastAsia="zh-CN"/>
        </w:rPr>
        <w:t>2.93</w:t>
      </w:r>
      <w:r>
        <w:rPr>
          <w:rFonts w:hint="eastAsia" w:ascii="TimesNewRoman" w:hAnsi="TimesNewRoman" w:eastAsia="仿宋_GB2312" w:cs="TimesNewRoman"/>
          <w:kern w:val="0"/>
          <w:sz w:val="32"/>
          <w:szCs w:val="32"/>
        </w:rPr>
        <w:t>%；住房保障支出</w:t>
      </w:r>
      <w:r>
        <w:rPr>
          <w:rFonts w:hint="eastAsia" w:ascii="TimesNewRoman" w:hAnsi="TimesNewRoman" w:eastAsia="仿宋_GB2312" w:cs="TimesNewRoman"/>
          <w:kern w:val="0"/>
          <w:sz w:val="32"/>
          <w:szCs w:val="32"/>
          <w:lang w:val="en-US" w:eastAsia="zh-CN"/>
        </w:rPr>
        <w:t>33.99</w:t>
      </w:r>
      <w:r>
        <w:rPr>
          <w:rFonts w:hint="eastAsia" w:ascii="TimesNewRoman" w:hAnsi="TimesNewRoman" w:eastAsia="仿宋_GB2312" w:cs="TimesNewRoman"/>
          <w:kern w:val="0"/>
          <w:sz w:val="32"/>
          <w:szCs w:val="32"/>
        </w:rPr>
        <w:t>万元，占</w:t>
      </w:r>
      <w:r>
        <w:rPr>
          <w:rFonts w:hint="eastAsia" w:ascii="TimesNewRoman" w:hAnsi="TimesNewRoman" w:eastAsia="仿宋_GB2312" w:cs="TimesNewRoman"/>
          <w:kern w:val="0"/>
          <w:sz w:val="32"/>
          <w:szCs w:val="32"/>
          <w:lang w:val="en-US" w:eastAsia="zh-CN"/>
        </w:rPr>
        <w:t>11.45</w:t>
      </w:r>
      <w:r>
        <w:rPr>
          <w:rFonts w:hint="eastAsia" w:ascii="TimesNewRoman" w:hAnsi="TimesNewRoman" w:eastAsia="仿宋_GB2312" w:cs="TimesNewRoman"/>
          <w:kern w:val="0"/>
          <w:sz w:val="32"/>
          <w:szCs w:val="32"/>
        </w:rPr>
        <w:t>%。</w:t>
      </w:r>
    </w:p>
    <w:p w14:paraId="467F4D85">
      <w:pPr>
        <w:pStyle w:val="5"/>
        <w:adjustRightInd w:val="0"/>
        <w:snapToGrid w:val="0"/>
        <w:spacing w:line="560" w:lineRule="exact"/>
        <w:ind w:firstLine="630" w:firstLineChars="196"/>
        <w:rPr>
          <w:rFonts w:ascii="TimesNewRoman" w:hAnsi="TimesNewRoman" w:eastAsia="楷体_GB2312" w:cs="TimesNewRoman"/>
          <w:b/>
          <w:sz w:val="32"/>
          <w:szCs w:val="32"/>
        </w:rPr>
      </w:pPr>
      <w:r>
        <w:rPr>
          <w:rFonts w:hint="eastAsia" w:ascii="TimesNewRoman" w:hAnsi="TimesNewRoman" w:eastAsia="楷体_GB2312" w:cs="TimesNewRoman"/>
          <w:b/>
          <w:sz w:val="32"/>
          <w:szCs w:val="32"/>
        </w:rPr>
        <w:t>（三）一般公共预算支出具体使用情况。</w:t>
      </w:r>
    </w:p>
    <w:p w14:paraId="26F22FD2">
      <w:pPr>
        <w:ind w:firstLine="640" w:firstLineChars="200"/>
        <w:rPr>
          <w:rFonts w:hint="eastAsia" w:ascii="TimesNewRoman" w:hAnsi="TimesNewRoman" w:eastAsia="仿宋_GB2312" w:cs="TimesNewRoman"/>
          <w:kern w:val="0"/>
          <w:sz w:val="32"/>
          <w:szCs w:val="32"/>
          <w:lang w:val="en-US" w:eastAsia="zh-CN"/>
        </w:rPr>
      </w:pPr>
      <w:r>
        <w:rPr>
          <w:rFonts w:hint="default" w:ascii="TimesNewRoman" w:hAnsi="TimesNewRoman" w:eastAsia="仿宋_GB2312" w:cs="TimesNewRoman"/>
          <w:kern w:val="0"/>
          <w:sz w:val="32"/>
          <w:szCs w:val="32"/>
        </w:rPr>
        <w:t>1</w:t>
      </w:r>
      <w:r>
        <w:rPr>
          <w:rFonts w:hint="eastAsia" w:ascii="TimesNewRoman" w:hAnsi="TimesNewRoman" w:eastAsia="仿宋_GB2312" w:cs="TimesNewRoman"/>
          <w:kern w:val="0"/>
          <w:sz w:val="32"/>
          <w:szCs w:val="32"/>
        </w:rPr>
        <w:t>、科学技术支出（类）群众团体事务（款）行政运行（项）</w:t>
      </w:r>
      <w:r>
        <w:rPr>
          <w:rFonts w:hint="default" w:ascii="TimesNewRoman" w:hAnsi="TimesNewRoman" w:eastAsia="仿宋_GB2312" w:cs="TimesNewRoman"/>
          <w:kern w:val="0"/>
          <w:sz w:val="32"/>
          <w:szCs w:val="32"/>
        </w:rPr>
        <w:t>202</w:t>
      </w:r>
      <w:r>
        <w:rPr>
          <w:rFonts w:hint="eastAsia" w:ascii="TimesNewRoman" w:hAnsi="TimesNewRoman" w:eastAsia="仿宋_GB2312" w:cs="TimesNewRoman"/>
          <w:kern w:val="0"/>
          <w:sz w:val="32"/>
          <w:szCs w:val="32"/>
          <w:lang w:val="en-US" w:eastAsia="zh-CN"/>
        </w:rPr>
        <w:t>5</w:t>
      </w:r>
      <w:r>
        <w:rPr>
          <w:rFonts w:hint="eastAsia" w:ascii="TimesNewRoman" w:hAnsi="TimesNewRoman" w:eastAsia="仿宋_GB2312" w:cs="TimesNewRoman"/>
          <w:kern w:val="0"/>
          <w:sz w:val="32"/>
          <w:szCs w:val="32"/>
        </w:rPr>
        <w:t>年预算</w:t>
      </w:r>
      <w:r>
        <w:rPr>
          <w:rFonts w:hint="eastAsia" w:ascii="TimesNewRoman" w:hAnsi="TimesNewRoman" w:eastAsia="仿宋_GB2312" w:cs="TimesNewRoman"/>
          <w:kern w:val="0"/>
          <w:sz w:val="32"/>
          <w:szCs w:val="32"/>
          <w:lang w:val="en-US" w:eastAsia="zh-CN"/>
        </w:rPr>
        <w:t>54.32</w:t>
      </w:r>
      <w:r>
        <w:rPr>
          <w:rFonts w:hint="eastAsia" w:ascii="TimesNewRoman" w:hAnsi="TimesNewRoman" w:eastAsia="仿宋_GB2312" w:cs="TimesNewRoman"/>
          <w:kern w:val="0"/>
          <w:sz w:val="32"/>
          <w:szCs w:val="32"/>
        </w:rPr>
        <w:t>万元，比</w:t>
      </w:r>
      <w:r>
        <w:rPr>
          <w:rFonts w:hint="default" w:ascii="TimesNewRoman" w:hAnsi="TimesNewRoman" w:eastAsia="仿宋_GB2312" w:cs="TimesNewRoman"/>
          <w:kern w:val="0"/>
          <w:sz w:val="32"/>
          <w:szCs w:val="32"/>
        </w:rPr>
        <w:t>202</w:t>
      </w:r>
      <w:r>
        <w:rPr>
          <w:rFonts w:hint="eastAsia" w:ascii="TimesNewRoman" w:hAnsi="TimesNewRoman" w:eastAsia="仿宋_GB2312" w:cs="TimesNewRoman"/>
          <w:kern w:val="0"/>
          <w:sz w:val="32"/>
          <w:szCs w:val="32"/>
          <w:lang w:val="en-US" w:eastAsia="zh-CN"/>
        </w:rPr>
        <w:t>4</w:t>
      </w:r>
      <w:r>
        <w:rPr>
          <w:rFonts w:hint="eastAsia" w:ascii="TimesNewRoman" w:hAnsi="TimesNewRoman" w:eastAsia="仿宋_GB2312" w:cs="TimesNewRoman"/>
          <w:kern w:val="0"/>
          <w:sz w:val="32"/>
          <w:szCs w:val="32"/>
        </w:rPr>
        <w:t>年预算</w:t>
      </w:r>
      <w:r>
        <w:rPr>
          <w:rFonts w:hint="eastAsia" w:ascii="TimesNewRoman" w:hAnsi="TimesNewRoman" w:eastAsia="仿宋_GB2312" w:cs="TimesNewRoman"/>
          <w:kern w:val="0"/>
          <w:sz w:val="32"/>
          <w:szCs w:val="32"/>
          <w:lang w:val="en-US" w:eastAsia="zh-CN"/>
        </w:rPr>
        <w:t>增加54.32</w:t>
      </w:r>
      <w:r>
        <w:rPr>
          <w:rFonts w:hint="eastAsia" w:ascii="TimesNewRoman" w:hAnsi="TimesNewRoman" w:eastAsia="仿宋_GB2312" w:cs="TimesNewRoman"/>
          <w:kern w:val="0"/>
          <w:sz w:val="32"/>
          <w:szCs w:val="32"/>
        </w:rPr>
        <w:t>万元，</w:t>
      </w:r>
      <w:r>
        <w:rPr>
          <w:rFonts w:hint="eastAsia" w:ascii="TimesNewRoman" w:hAnsi="TimesNewRoman" w:eastAsia="仿宋_GB2312" w:cs="TimesNewRoman"/>
          <w:kern w:val="0"/>
          <w:sz w:val="32"/>
          <w:szCs w:val="32"/>
          <w:lang w:val="en-US" w:eastAsia="zh-CN"/>
        </w:rPr>
        <w:t>增加100</w:t>
      </w:r>
      <w:r>
        <w:rPr>
          <w:rFonts w:hint="eastAsia" w:ascii="TimesNewRoman" w:hAnsi="TimesNewRoman" w:eastAsia="仿宋_GB2312" w:cs="TimesNewRoman"/>
          <w:kern w:val="0"/>
          <w:sz w:val="32"/>
          <w:szCs w:val="32"/>
        </w:rPr>
        <w:t>%，原因</w:t>
      </w:r>
      <w:r>
        <w:rPr>
          <w:rFonts w:hint="eastAsia" w:ascii="TimesNewRoman" w:hAnsi="TimesNewRoman" w:eastAsia="仿宋_GB2312" w:cs="TimesNewRoman"/>
          <w:kern w:val="0"/>
          <w:sz w:val="32"/>
          <w:szCs w:val="32"/>
          <w:lang w:val="en-US" w:eastAsia="zh-CN"/>
        </w:rPr>
        <w:t>主要是一般公共服务支出功能科目的调整。</w:t>
      </w:r>
    </w:p>
    <w:p w14:paraId="0C63E8A7">
      <w:pPr>
        <w:ind w:firstLine="640" w:firstLineChars="200"/>
        <w:rPr>
          <w:rFonts w:hint="eastAsia" w:ascii="TimesNewRoman" w:hAnsi="TimesNewRoman" w:eastAsia="仿宋_GB2312" w:cs="TimesNewRoman"/>
          <w:kern w:val="0"/>
          <w:sz w:val="32"/>
          <w:szCs w:val="32"/>
          <w:lang w:val="en-US" w:eastAsia="zh-CN"/>
        </w:rPr>
      </w:pPr>
      <w:r>
        <w:rPr>
          <w:rFonts w:hint="eastAsia" w:ascii="TimesNewRoman" w:hAnsi="TimesNewRoman" w:eastAsia="仿宋_GB2312" w:cs="TimesNewRoman"/>
          <w:kern w:val="0"/>
          <w:sz w:val="32"/>
          <w:szCs w:val="32"/>
          <w:lang w:val="en-US" w:eastAsia="zh-CN"/>
        </w:rPr>
        <w:t>2</w:t>
      </w:r>
      <w:r>
        <w:rPr>
          <w:rFonts w:hint="eastAsia" w:ascii="TimesNewRoman" w:hAnsi="TimesNewRoman" w:eastAsia="仿宋_GB2312" w:cs="TimesNewRoman"/>
          <w:kern w:val="0"/>
          <w:sz w:val="32"/>
          <w:szCs w:val="32"/>
        </w:rPr>
        <w:t>、科学技术支出（类）科学技术普及（款）机构运行（项）</w:t>
      </w:r>
      <w:r>
        <w:rPr>
          <w:rFonts w:hint="default" w:ascii="TimesNewRoman" w:hAnsi="TimesNewRoman" w:eastAsia="仿宋_GB2312" w:cs="TimesNewRoman"/>
          <w:kern w:val="0"/>
          <w:sz w:val="32"/>
          <w:szCs w:val="32"/>
        </w:rPr>
        <w:t>202</w:t>
      </w:r>
      <w:r>
        <w:rPr>
          <w:rFonts w:hint="eastAsia" w:ascii="TimesNewRoman" w:hAnsi="TimesNewRoman" w:eastAsia="仿宋_GB2312" w:cs="TimesNewRoman"/>
          <w:kern w:val="0"/>
          <w:sz w:val="32"/>
          <w:szCs w:val="32"/>
          <w:lang w:val="en-US" w:eastAsia="zh-CN"/>
        </w:rPr>
        <w:t>5</w:t>
      </w:r>
      <w:r>
        <w:rPr>
          <w:rFonts w:hint="eastAsia" w:ascii="TimesNewRoman" w:hAnsi="TimesNewRoman" w:eastAsia="仿宋_GB2312" w:cs="TimesNewRoman"/>
          <w:kern w:val="0"/>
          <w:sz w:val="32"/>
          <w:szCs w:val="32"/>
        </w:rPr>
        <w:t>年预算</w:t>
      </w:r>
      <w:r>
        <w:rPr>
          <w:rFonts w:hint="eastAsia" w:ascii="TimesNewRoman" w:hAnsi="TimesNewRoman" w:eastAsia="仿宋_GB2312" w:cs="TimesNewRoman"/>
          <w:kern w:val="0"/>
          <w:sz w:val="32"/>
          <w:szCs w:val="32"/>
          <w:lang w:val="en-US" w:eastAsia="zh-CN"/>
        </w:rPr>
        <w:t>101.77</w:t>
      </w:r>
      <w:r>
        <w:rPr>
          <w:rFonts w:hint="eastAsia" w:ascii="TimesNewRoman" w:hAnsi="TimesNewRoman" w:eastAsia="仿宋_GB2312" w:cs="TimesNewRoman"/>
          <w:kern w:val="0"/>
          <w:sz w:val="32"/>
          <w:szCs w:val="32"/>
        </w:rPr>
        <w:t>万元，比</w:t>
      </w:r>
      <w:r>
        <w:rPr>
          <w:rFonts w:hint="default" w:ascii="TimesNewRoman" w:hAnsi="TimesNewRoman" w:eastAsia="仿宋_GB2312" w:cs="TimesNewRoman"/>
          <w:kern w:val="0"/>
          <w:sz w:val="32"/>
          <w:szCs w:val="32"/>
        </w:rPr>
        <w:t>202</w:t>
      </w:r>
      <w:r>
        <w:rPr>
          <w:rFonts w:hint="eastAsia" w:ascii="TimesNewRoman" w:hAnsi="TimesNewRoman" w:eastAsia="仿宋_GB2312" w:cs="TimesNewRoman"/>
          <w:kern w:val="0"/>
          <w:sz w:val="32"/>
          <w:szCs w:val="32"/>
          <w:lang w:val="en-US" w:eastAsia="zh-CN"/>
        </w:rPr>
        <w:t>4</w:t>
      </w:r>
      <w:r>
        <w:rPr>
          <w:rFonts w:hint="eastAsia" w:ascii="TimesNewRoman" w:hAnsi="TimesNewRoman" w:eastAsia="仿宋_GB2312" w:cs="TimesNewRoman"/>
          <w:kern w:val="0"/>
          <w:sz w:val="32"/>
          <w:szCs w:val="32"/>
        </w:rPr>
        <w:t>年预算</w:t>
      </w:r>
      <w:r>
        <w:rPr>
          <w:rFonts w:hint="eastAsia" w:ascii="TimesNewRoman" w:hAnsi="TimesNewRoman" w:eastAsia="仿宋_GB2312" w:cs="TimesNewRoman"/>
          <w:kern w:val="0"/>
          <w:sz w:val="32"/>
          <w:szCs w:val="32"/>
          <w:lang w:val="en-US" w:eastAsia="zh-CN"/>
        </w:rPr>
        <w:t>减少45,98</w:t>
      </w:r>
      <w:r>
        <w:rPr>
          <w:rFonts w:hint="eastAsia" w:ascii="TimesNewRoman" w:hAnsi="TimesNewRoman" w:eastAsia="仿宋_GB2312" w:cs="TimesNewRoman"/>
          <w:kern w:val="0"/>
          <w:sz w:val="32"/>
          <w:szCs w:val="32"/>
        </w:rPr>
        <w:t>万元</w:t>
      </w:r>
      <w:r>
        <w:rPr>
          <w:rFonts w:hint="eastAsia" w:ascii="TimesNewRoman" w:hAnsi="TimesNewRoman" w:eastAsia="仿宋_GB2312" w:cs="TimesNewRoman"/>
          <w:kern w:val="0"/>
          <w:sz w:val="32"/>
          <w:szCs w:val="32"/>
          <w:lang w:eastAsia="zh-CN"/>
        </w:rPr>
        <w:t>，</w:t>
      </w:r>
      <w:r>
        <w:rPr>
          <w:rFonts w:hint="eastAsia" w:ascii="TimesNewRoman" w:hAnsi="TimesNewRoman" w:eastAsia="仿宋_GB2312" w:cs="TimesNewRoman"/>
          <w:kern w:val="0"/>
          <w:sz w:val="32"/>
          <w:szCs w:val="32"/>
          <w:lang w:val="en-US" w:eastAsia="zh-CN"/>
        </w:rPr>
        <w:t>下降31.12</w:t>
      </w:r>
      <w:r>
        <w:rPr>
          <w:rFonts w:hint="eastAsia" w:ascii="TimesNewRoman" w:hAnsi="TimesNewRoman" w:eastAsia="仿宋_GB2312" w:cs="TimesNewRoman"/>
          <w:kern w:val="0"/>
          <w:sz w:val="32"/>
          <w:szCs w:val="32"/>
        </w:rPr>
        <w:t>%，原因</w:t>
      </w:r>
      <w:r>
        <w:rPr>
          <w:rFonts w:hint="eastAsia" w:ascii="TimesNewRoman" w:hAnsi="TimesNewRoman" w:eastAsia="仿宋_GB2312" w:cs="TimesNewRoman"/>
          <w:kern w:val="0"/>
          <w:sz w:val="32"/>
          <w:szCs w:val="32"/>
          <w:lang w:val="en-US" w:eastAsia="zh-CN"/>
        </w:rPr>
        <w:t>主要是一般公共服务支出功能科目的调整。</w:t>
      </w:r>
    </w:p>
    <w:p w14:paraId="1EC25F7A">
      <w:pPr>
        <w:ind w:firstLine="640" w:firstLineChars="200"/>
        <w:rPr>
          <w:rFonts w:hint="eastAsia" w:ascii="TimesNewRoman" w:hAnsi="TimesNewRoman" w:eastAsia="仿宋_GB2312" w:cs="TimesNewRoman"/>
          <w:kern w:val="0"/>
          <w:sz w:val="32"/>
          <w:szCs w:val="32"/>
          <w:lang w:val="en-US" w:eastAsia="zh-CN"/>
        </w:rPr>
      </w:pPr>
      <w:r>
        <w:rPr>
          <w:rFonts w:hint="eastAsia" w:ascii="TimesNewRoman" w:hAnsi="TimesNewRoman" w:eastAsia="仿宋_GB2312" w:cs="TimesNewRoman"/>
          <w:kern w:val="0"/>
          <w:sz w:val="32"/>
          <w:szCs w:val="32"/>
          <w:lang w:val="en-US" w:eastAsia="zh-CN"/>
        </w:rPr>
        <w:t>3</w:t>
      </w:r>
      <w:r>
        <w:rPr>
          <w:rFonts w:hint="eastAsia" w:ascii="TimesNewRoman" w:hAnsi="TimesNewRoman" w:eastAsia="仿宋_GB2312" w:cs="TimesNewRoman"/>
          <w:kern w:val="0"/>
          <w:sz w:val="32"/>
          <w:szCs w:val="32"/>
        </w:rPr>
        <w:t>、科学技术支出（类）科学技术普及（款）科普活动（项）</w:t>
      </w:r>
      <w:r>
        <w:rPr>
          <w:rFonts w:hint="default" w:ascii="TimesNewRoman" w:hAnsi="TimesNewRoman" w:eastAsia="仿宋_GB2312" w:cs="TimesNewRoman"/>
          <w:kern w:val="0"/>
          <w:sz w:val="32"/>
          <w:szCs w:val="32"/>
        </w:rPr>
        <w:t>202</w:t>
      </w:r>
      <w:r>
        <w:rPr>
          <w:rFonts w:hint="eastAsia" w:ascii="TimesNewRoman" w:hAnsi="TimesNewRoman" w:eastAsia="仿宋_GB2312" w:cs="TimesNewRoman"/>
          <w:kern w:val="0"/>
          <w:sz w:val="32"/>
          <w:szCs w:val="32"/>
          <w:lang w:val="en-US" w:eastAsia="zh-CN"/>
        </w:rPr>
        <w:t>5</w:t>
      </w:r>
      <w:r>
        <w:rPr>
          <w:rFonts w:hint="eastAsia" w:ascii="TimesNewRoman" w:hAnsi="TimesNewRoman" w:eastAsia="仿宋_GB2312" w:cs="TimesNewRoman"/>
          <w:kern w:val="0"/>
          <w:sz w:val="32"/>
          <w:szCs w:val="32"/>
        </w:rPr>
        <w:t>年预算</w:t>
      </w:r>
      <w:r>
        <w:rPr>
          <w:rFonts w:hint="eastAsia" w:ascii="TimesNewRoman" w:hAnsi="TimesNewRoman" w:eastAsia="仿宋_GB2312" w:cs="TimesNewRoman"/>
          <w:kern w:val="0"/>
          <w:sz w:val="32"/>
          <w:szCs w:val="32"/>
          <w:lang w:val="en-US" w:eastAsia="zh-CN"/>
        </w:rPr>
        <w:t>17.60</w:t>
      </w:r>
      <w:r>
        <w:rPr>
          <w:rFonts w:hint="eastAsia" w:ascii="TimesNewRoman" w:hAnsi="TimesNewRoman" w:eastAsia="仿宋_GB2312" w:cs="TimesNewRoman"/>
          <w:kern w:val="0"/>
          <w:sz w:val="32"/>
          <w:szCs w:val="32"/>
        </w:rPr>
        <w:t>万元，比</w:t>
      </w:r>
      <w:r>
        <w:rPr>
          <w:rFonts w:hint="default" w:ascii="TimesNewRoman" w:hAnsi="TimesNewRoman" w:eastAsia="仿宋_GB2312" w:cs="TimesNewRoman"/>
          <w:kern w:val="0"/>
          <w:sz w:val="32"/>
          <w:szCs w:val="32"/>
        </w:rPr>
        <w:t>202</w:t>
      </w:r>
      <w:r>
        <w:rPr>
          <w:rFonts w:hint="eastAsia" w:ascii="TimesNewRoman" w:hAnsi="TimesNewRoman" w:eastAsia="仿宋_GB2312" w:cs="TimesNewRoman"/>
          <w:kern w:val="0"/>
          <w:sz w:val="32"/>
          <w:szCs w:val="32"/>
          <w:lang w:val="en-US" w:eastAsia="zh-CN"/>
        </w:rPr>
        <w:t>4</w:t>
      </w:r>
      <w:r>
        <w:rPr>
          <w:rFonts w:hint="eastAsia" w:ascii="TimesNewRoman" w:hAnsi="TimesNewRoman" w:eastAsia="仿宋_GB2312" w:cs="TimesNewRoman"/>
          <w:kern w:val="0"/>
          <w:sz w:val="32"/>
          <w:szCs w:val="32"/>
        </w:rPr>
        <w:t>年预算</w:t>
      </w:r>
      <w:r>
        <w:rPr>
          <w:rFonts w:hint="eastAsia" w:ascii="TimesNewRoman" w:hAnsi="TimesNewRoman" w:eastAsia="仿宋_GB2312" w:cs="TimesNewRoman"/>
          <w:kern w:val="0"/>
          <w:sz w:val="32"/>
          <w:szCs w:val="32"/>
          <w:lang w:val="en-US" w:eastAsia="zh-CN"/>
        </w:rPr>
        <w:t>减少4.40</w:t>
      </w:r>
      <w:r>
        <w:rPr>
          <w:rFonts w:hint="eastAsia" w:ascii="TimesNewRoman" w:hAnsi="TimesNewRoman" w:eastAsia="仿宋_GB2312" w:cs="TimesNewRoman"/>
          <w:kern w:val="0"/>
          <w:sz w:val="32"/>
          <w:szCs w:val="32"/>
        </w:rPr>
        <w:t>万元</w:t>
      </w:r>
      <w:r>
        <w:rPr>
          <w:rFonts w:hint="eastAsia" w:ascii="TimesNewRoman" w:hAnsi="TimesNewRoman" w:eastAsia="仿宋_GB2312" w:cs="TimesNewRoman"/>
          <w:kern w:val="0"/>
          <w:sz w:val="32"/>
          <w:szCs w:val="32"/>
          <w:lang w:eastAsia="zh-CN"/>
        </w:rPr>
        <w:t>，</w:t>
      </w:r>
      <w:r>
        <w:rPr>
          <w:rFonts w:hint="eastAsia" w:ascii="TimesNewRoman" w:hAnsi="TimesNewRoman" w:eastAsia="仿宋_GB2312" w:cs="TimesNewRoman"/>
          <w:kern w:val="0"/>
          <w:sz w:val="32"/>
          <w:szCs w:val="32"/>
          <w:lang w:val="en-US" w:eastAsia="zh-CN"/>
        </w:rPr>
        <w:t>下降20</w:t>
      </w:r>
      <w:r>
        <w:rPr>
          <w:rFonts w:hint="eastAsia" w:ascii="TimesNewRoman" w:hAnsi="TimesNewRoman" w:eastAsia="仿宋_GB2312" w:cs="TimesNewRoman"/>
          <w:kern w:val="0"/>
          <w:sz w:val="32"/>
          <w:szCs w:val="32"/>
        </w:rPr>
        <w:t>%，原因</w:t>
      </w:r>
      <w:r>
        <w:rPr>
          <w:rFonts w:hint="eastAsia" w:ascii="TimesNewRoman" w:hAnsi="TimesNewRoman" w:eastAsia="仿宋_GB2312" w:cs="TimesNewRoman"/>
          <w:kern w:val="0"/>
          <w:sz w:val="32"/>
          <w:szCs w:val="32"/>
          <w:lang w:val="en-US" w:eastAsia="zh-CN"/>
        </w:rPr>
        <w:t>主要是厉行节约，政策性压减。</w:t>
      </w:r>
    </w:p>
    <w:p w14:paraId="6F39B7CF">
      <w:pPr>
        <w:ind w:firstLine="640" w:firstLineChars="200"/>
        <w:rPr>
          <w:rFonts w:hint="eastAsia" w:ascii="TimesNewRoman" w:hAnsi="TimesNewRoman" w:eastAsia="仿宋_GB2312" w:cs="TimesNewRoman"/>
          <w:kern w:val="0"/>
          <w:sz w:val="32"/>
          <w:szCs w:val="32"/>
          <w:lang w:val="en-US" w:eastAsia="zh-CN"/>
        </w:rPr>
      </w:pPr>
      <w:r>
        <w:rPr>
          <w:rFonts w:hint="eastAsia" w:ascii="TimesNewRoman" w:hAnsi="TimesNewRoman" w:eastAsia="仿宋_GB2312" w:cs="TimesNewRoman"/>
          <w:kern w:val="0"/>
          <w:sz w:val="32"/>
          <w:szCs w:val="32"/>
          <w:lang w:val="en-US" w:eastAsia="zh-CN"/>
        </w:rPr>
        <w:t>4</w:t>
      </w:r>
      <w:r>
        <w:rPr>
          <w:rFonts w:hint="eastAsia" w:ascii="TimesNewRoman" w:hAnsi="TimesNewRoman" w:eastAsia="仿宋_GB2312" w:cs="TimesNewRoman"/>
          <w:kern w:val="0"/>
          <w:sz w:val="32"/>
          <w:szCs w:val="32"/>
        </w:rPr>
        <w:t>、科学技术支出（类）科学技术普及（款）学术交流活动（项）</w:t>
      </w:r>
      <w:r>
        <w:rPr>
          <w:rFonts w:hint="default" w:ascii="TimesNewRoman" w:hAnsi="TimesNewRoman" w:eastAsia="仿宋_GB2312" w:cs="TimesNewRoman"/>
          <w:kern w:val="0"/>
          <w:sz w:val="32"/>
          <w:szCs w:val="32"/>
        </w:rPr>
        <w:t>202</w:t>
      </w:r>
      <w:r>
        <w:rPr>
          <w:rFonts w:hint="eastAsia" w:ascii="TimesNewRoman" w:hAnsi="TimesNewRoman" w:eastAsia="仿宋_GB2312" w:cs="TimesNewRoman"/>
          <w:kern w:val="0"/>
          <w:sz w:val="32"/>
          <w:szCs w:val="32"/>
          <w:lang w:val="en-US" w:eastAsia="zh-CN"/>
        </w:rPr>
        <w:t>5</w:t>
      </w:r>
      <w:r>
        <w:rPr>
          <w:rFonts w:hint="eastAsia" w:ascii="TimesNewRoman" w:hAnsi="TimesNewRoman" w:eastAsia="仿宋_GB2312" w:cs="TimesNewRoman"/>
          <w:kern w:val="0"/>
          <w:sz w:val="32"/>
          <w:szCs w:val="32"/>
        </w:rPr>
        <w:t>年预算</w:t>
      </w:r>
      <w:r>
        <w:rPr>
          <w:rFonts w:hint="eastAsia" w:ascii="TimesNewRoman" w:hAnsi="TimesNewRoman" w:eastAsia="仿宋_GB2312" w:cs="TimesNewRoman"/>
          <w:kern w:val="0"/>
          <w:sz w:val="32"/>
          <w:szCs w:val="32"/>
          <w:lang w:val="en-US" w:eastAsia="zh-CN"/>
        </w:rPr>
        <w:t>5.60</w:t>
      </w:r>
      <w:r>
        <w:rPr>
          <w:rFonts w:hint="eastAsia" w:ascii="TimesNewRoman" w:hAnsi="TimesNewRoman" w:eastAsia="仿宋_GB2312" w:cs="TimesNewRoman"/>
          <w:kern w:val="0"/>
          <w:sz w:val="32"/>
          <w:szCs w:val="32"/>
        </w:rPr>
        <w:t>万元，比</w:t>
      </w:r>
      <w:r>
        <w:rPr>
          <w:rFonts w:hint="default" w:ascii="TimesNewRoman" w:hAnsi="TimesNewRoman" w:eastAsia="仿宋_GB2312" w:cs="TimesNewRoman"/>
          <w:kern w:val="0"/>
          <w:sz w:val="32"/>
          <w:szCs w:val="32"/>
        </w:rPr>
        <w:t>202</w:t>
      </w:r>
      <w:r>
        <w:rPr>
          <w:rFonts w:hint="eastAsia" w:ascii="TimesNewRoman" w:hAnsi="TimesNewRoman" w:eastAsia="仿宋_GB2312" w:cs="TimesNewRoman"/>
          <w:kern w:val="0"/>
          <w:sz w:val="32"/>
          <w:szCs w:val="32"/>
          <w:lang w:val="en-US" w:eastAsia="zh-CN"/>
        </w:rPr>
        <w:t>4</w:t>
      </w:r>
      <w:r>
        <w:rPr>
          <w:rFonts w:hint="eastAsia" w:ascii="TimesNewRoman" w:hAnsi="TimesNewRoman" w:eastAsia="仿宋_GB2312" w:cs="TimesNewRoman"/>
          <w:kern w:val="0"/>
          <w:sz w:val="32"/>
          <w:szCs w:val="32"/>
        </w:rPr>
        <w:t>年预算</w:t>
      </w:r>
      <w:r>
        <w:rPr>
          <w:rFonts w:hint="eastAsia" w:ascii="TimesNewRoman" w:hAnsi="TimesNewRoman" w:eastAsia="仿宋_GB2312" w:cs="TimesNewRoman"/>
          <w:kern w:val="0"/>
          <w:sz w:val="32"/>
          <w:szCs w:val="32"/>
          <w:lang w:val="en-US" w:eastAsia="zh-CN"/>
        </w:rPr>
        <w:t>减少1.40</w:t>
      </w:r>
      <w:r>
        <w:rPr>
          <w:rFonts w:hint="eastAsia" w:ascii="TimesNewRoman" w:hAnsi="TimesNewRoman" w:eastAsia="仿宋_GB2312" w:cs="TimesNewRoman"/>
          <w:kern w:val="0"/>
          <w:sz w:val="32"/>
          <w:szCs w:val="32"/>
        </w:rPr>
        <w:t>万元</w:t>
      </w:r>
      <w:r>
        <w:rPr>
          <w:rFonts w:hint="eastAsia" w:ascii="TimesNewRoman" w:hAnsi="TimesNewRoman" w:eastAsia="仿宋_GB2312" w:cs="TimesNewRoman"/>
          <w:kern w:val="0"/>
          <w:sz w:val="32"/>
          <w:szCs w:val="32"/>
          <w:lang w:eastAsia="zh-CN"/>
        </w:rPr>
        <w:t>，</w:t>
      </w:r>
      <w:r>
        <w:rPr>
          <w:rFonts w:hint="eastAsia" w:ascii="TimesNewRoman" w:hAnsi="TimesNewRoman" w:eastAsia="仿宋_GB2312" w:cs="TimesNewRoman"/>
          <w:kern w:val="0"/>
          <w:sz w:val="32"/>
          <w:szCs w:val="32"/>
          <w:lang w:val="en-US" w:eastAsia="zh-CN"/>
        </w:rPr>
        <w:t>下降20</w:t>
      </w:r>
      <w:r>
        <w:rPr>
          <w:rFonts w:hint="eastAsia" w:ascii="TimesNewRoman" w:hAnsi="TimesNewRoman" w:eastAsia="仿宋_GB2312" w:cs="TimesNewRoman"/>
          <w:kern w:val="0"/>
          <w:sz w:val="32"/>
          <w:szCs w:val="32"/>
        </w:rPr>
        <w:t>%，原因</w:t>
      </w:r>
      <w:r>
        <w:rPr>
          <w:rFonts w:hint="eastAsia" w:ascii="TimesNewRoman" w:hAnsi="TimesNewRoman" w:eastAsia="仿宋_GB2312" w:cs="TimesNewRoman"/>
          <w:kern w:val="0"/>
          <w:sz w:val="32"/>
          <w:szCs w:val="32"/>
          <w:lang w:val="en-US" w:eastAsia="zh-CN"/>
        </w:rPr>
        <w:t>主要是厉行节约，政策性压减。</w:t>
      </w:r>
    </w:p>
    <w:p w14:paraId="60FDE450">
      <w:pPr>
        <w:ind w:firstLine="640" w:firstLineChars="200"/>
        <w:rPr>
          <w:rFonts w:hint="default" w:ascii="TimesNewRoman" w:hAnsi="TimesNewRoman" w:eastAsia="仿宋_GB2312" w:cs="TimesNewRoman"/>
          <w:kern w:val="0"/>
          <w:sz w:val="32"/>
          <w:szCs w:val="32"/>
          <w:lang w:val="en-US" w:eastAsia="zh-CN"/>
        </w:rPr>
      </w:pPr>
      <w:r>
        <w:rPr>
          <w:rFonts w:hint="eastAsia" w:ascii="TimesNewRoman" w:hAnsi="TimesNewRoman" w:eastAsia="仿宋_GB2312" w:cs="TimesNewRoman"/>
          <w:kern w:val="0"/>
          <w:sz w:val="32"/>
          <w:szCs w:val="32"/>
          <w:lang w:val="en-US" w:eastAsia="zh-CN"/>
        </w:rPr>
        <w:t>5</w:t>
      </w:r>
      <w:r>
        <w:rPr>
          <w:rFonts w:hint="eastAsia" w:ascii="TimesNewRoman" w:hAnsi="TimesNewRoman" w:eastAsia="仿宋_GB2312" w:cs="TimesNewRoman"/>
          <w:kern w:val="0"/>
          <w:sz w:val="32"/>
          <w:szCs w:val="32"/>
        </w:rPr>
        <w:t>、社会保障和就业支出（类）行政事业单位养老支出（款）行政单位离退休（项）</w:t>
      </w:r>
      <w:r>
        <w:rPr>
          <w:rFonts w:hint="default" w:ascii="TimesNewRoman" w:hAnsi="TimesNewRoman" w:eastAsia="仿宋_GB2312" w:cs="TimesNewRoman"/>
          <w:kern w:val="0"/>
          <w:sz w:val="32"/>
          <w:szCs w:val="32"/>
        </w:rPr>
        <w:t>202</w:t>
      </w:r>
      <w:r>
        <w:rPr>
          <w:rFonts w:hint="eastAsia" w:ascii="TimesNewRoman" w:hAnsi="TimesNewRoman" w:eastAsia="仿宋_GB2312" w:cs="TimesNewRoman"/>
          <w:kern w:val="0"/>
          <w:sz w:val="32"/>
          <w:szCs w:val="32"/>
          <w:lang w:val="en-US" w:eastAsia="zh-CN"/>
        </w:rPr>
        <w:t>5</w:t>
      </w:r>
      <w:r>
        <w:rPr>
          <w:rFonts w:hint="eastAsia" w:ascii="TimesNewRoman" w:hAnsi="TimesNewRoman" w:eastAsia="仿宋_GB2312" w:cs="TimesNewRoman"/>
          <w:kern w:val="0"/>
          <w:sz w:val="32"/>
          <w:szCs w:val="32"/>
        </w:rPr>
        <w:t>年预算</w:t>
      </w:r>
      <w:r>
        <w:rPr>
          <w:rFonts w:hint="default" w:ascii="TimesNewRoman" w:hAnsi="TimesNewRoman" w:eastAsia="仿宋_GB2312" w:cs="TimesNewRoman"/>
          <w:kern w:val="0"/>
          <w:sz w:val="32"/>
          <w:szCs w:val="32"/>
          <w:lang w:val="en-US" w:eastAsia="zh-CN"/>
        </w:rPr>
        <w:t>46</w:t>
      </w:r>
      <w:r>
        <w:rPr>
          <w:rFonts w:hint="eastAsia" w:ascii="TimesNewRoman" w:hAnsi="TimesNewRoman" w:eastAsia="仿宋_GB2312" w:cs="TimesNewRoman"/>
          <w:kern w:val="0"/>
          <w:sz w:val="32"/>
          <w:szCs w:val="32"/>
          <w:lang w:val="en-US" w:eastAsia="zh-CN"/>
        </w:rPr>
        <w:t>.</w:t>
      </w:r>
      <w:r>
        <w:rPr>
          <w:rFonts w:hint="default" w:ascii="TimesNewRoman" w:hAnsi="TimesNewRoman" w:eastAsia="仿宋_GB2312" w:cs="TimesNewRoman"/>
          <w:kern w:val="0"/>
          <w:sz w:val="32"/>
          <w:szCs w:val="32"/>
          <w:lang w:val="en-US" w:eastAsia="zh-CN"/>
        </w:rPr>
        <w:t>25</w:t>
      </w:r>
      <w:r>
        <w:rPr>
          <w:rFonts w:hint="eastAsia" w:ascii="TimesNewRoman" w:hAnsi="TimesNewRoman" w:eastAsia="仿宋_GB2312" w:cs="TimesNewRoman"/>
          <w:kern w:val="0"/>
          <w:sz w:val="32"/>
          <w:szCs w:val="32"/>
        </w:rPr>
        <w:t>万元，</w:t>
      </w:r>
      <w:r>
        <w:rPr>
          <w:rFonts w:hint="eastAsia" w:ascii="TimesNewRoman" w:hAnsi="TimesNewRoman" w:eastAsia="仿宋_GB2312" w:cs="TimesNewRoman"/>
          <w:kern w:val="0"/>
          <w:sz w:val="32"/>
          <w:szCs w:val="32"/>
          <w:lang w:val="en-US" w:eastAsia="zh-CN"/>
        </w:rPr>
        <w:t>与</w:t>
      </w:r>
      <w:r>
        <w:rPr>
          <w:rFonts w:hint="default" w:ascii="TimesNewRoman" w:hAnsi="TimesNewRoman" w:eastAsia="仿宋_GB2312" w:cs="TimesNewRoman"/>
          <w:kern w:val="0"/>
          <w:sz w:val="32"/>
          <w:szCs w:val="32"/>
        </w:rPr>
        <w:t>202</w:t>
      </w:r>
      <w:r>
        <w:rPr>
          <w:rFonts w:hint="eastAsia" w:ascii="TimesNewRoman" w:hAnsi="TimesNewRoman" w:eastAsia="仿宋_GB2312" w:cs="TimesNewRoman"/>
          <w:kern w:val="0"/>
          <w:sz w:val="32"/>
          <w:szCs w:val="32"/>
          <w:lang w:val="en-US" w:eastAsia="zh-CN"/>
        </w:rPr>
        <w:t>4</w:t>
      </w:r>
      <w:r>
        <w:rPr>
          <w:rFonts w:hint="eastAsia" w:ascii="TimesNewRoman" w:hAnsi="TimesNewRoman" w:eastAsia="仿宋_GB2312" w:cs="TimesNewRoman"/>
          <w:kern w:val="0"/>
          <w:sz w:val="32"/>
          <w:szCs w:val="32"/>
        </w:rPr>
        <w:t>年预算</w:t>
      </w:r>
      <w:r>
        <w:rPr>
          <w:rFonts w:hint="eastAsia" w:ascii="TimesNewRoman" w:hAnsi="TimesNewRoman" w:eastAsia="仿宋_GB2312" w:cs="TimesNewRoman"/>
          <w:kern w:val="0"/>
          <w:sz w:val="32"/>
          <w:szCs w:val="32"/>
          <w:lang w:val="en-US" w:eastAsia="zh-CN"/>
        </w:rPr>
        <w:t>一致。</w:t>
      </w:r>
      <w:r>
        <w:rPr>
          <w:rFonts w:hint="eastAsia" w:ascii="TimesNewRoman" w:hAnsi="TimesNewRoman" w:eastAsia="仿宋_GB2312" w:cs="TimesNewRoman"/>
          <w:kern w:val="0"/>
          <w:sz w:val="32"/>
          <w:szCs w:val="32"/>
        </w:rPr>
        <w:t>原因主要是</w:t>
      </w:r>
      <w:r>
        <w:rPr>
          <w:rFonts w:hint="eastAsia" w:ascii="TimesNewRoman" w:hAnsi="TimesNewRoman" w:eastAsia="仿宋_GB2312" w:cs="TimesNewRoman"/>
          <w:kern w:val="0"/>
          <w:sz w:val="32"/>
          <w:szCs w:val="32"/>
          <w:lang w:val="en-US" w:eastAsia="zh-CN"/>
        </w:rPr>
        <w:t>本年度离退休人员未变动。</w:t>
      </w:r>
    </w:p>
    <w:p w14:paraId="1AC0E8FA">
      <w:pPr>
        <w:ind w:firstLine="640" w:firstLineChars="200"/>
        <w:rPr>
          <w:rFonts w:hint="eastAsia" w:ascii="TimesNewRoman" w:hAnsi="TimesNewRoman" w:eastAsia="仿宋_GB2312" w:cs="TimesNewRoman"/>
          <w:kern w:val="0"/>
          <w:sz w:val="32"/>
          <w:szCs w:val="32"/>
          <w:lang w:val="en-US" w:eastAsia="zh-CN"/>
        </w:rPr>
      </w:pPr>
      <w:r>
        <w:rPr>
          <w:rFonts w:hint="eastAsia" w:ascii="TimesNewRoman" w:hAnsi="TimesNewRoman" w:eastAsia="仿宋_GB2312" w:cs="TimesNewRoman"/>
          <w:kern w:val="0"/>
          <w:sz w:val="32"/>
          <w:szCs w:val="32"/>
          <w:lang w:val="en-US" w:eastAsia="zh-CN"/>
        </w:rPr>
        <w:t>6</w:t>
      </w:r>
      <w:r>
        <w:rPr>
          <w:rFonts w:hint="eastAsia" w:ascii="TimesNewRoman" w:hAnsi="TimesNewRoman" w:eastAsia="仿宋_GB2312" w:cs="TimesNewRoman"/>
          <w:kern w:val="0"/>
          <w:sz w:val="32"/>
          <w:szCs w:val="32"/>
        </w:rPr>
        <w:t>、社会保障和就业支出（类）行政事业单位养老支出（款）机关事业单位基本养老保险缴费支出（项）</w:t>
      </w:r>
      <w:r>
        <w:rPr>
          <w:rFonts w:hint="default" w:ascii="TimesNewRoman" w:hAnsi="TimesNewRoman" w:eastAsia="仿宋_GB2312" w:cs="TimesNewRoman"/>
          <w:kern w:val="0"/>
          <w:sz w:val="32"/>
          <w:szCs w:val="32"/>
        </w:rPr>
        <w:t>202</w:t>
      </w:r>
      <w:r>
        <w:rPr>
          <w:rFonts w:hint="eastAsia" w:ascii="TimesNewRoman" w:hAnsi="TimesNewRoman" w:eastAsia="仿宋_GB2312" w:cs="TimesNewRoman"/>
          <w:kern w:val="0"/>
          <w:sz w:val="32"/>
          <w:szCs w:val="32"/>
          <w:lang w:val="en-US" w:eastAsia="zh-CN"/>
        </w:rPr>
        <w:t>5</w:t>
      </w:r>
      <w:r>
        <w:rPr>
          <w:rFonts w:hint="eastAsia" w:ascii="TimesNewRoman" w:hAnsi="TimesNewRoman" w:eastAsia="仿宋_GB2312" w:cs="TimesNewRoman"/>
          <w:kern w:val="0"/>
          <w:sz w:val="32"/>
          <w:szCs w:val="32"/>
        </w:rPr>
        <w:t>年预算</w:t>
      </w:r>
      <w:r>
        <w:rPr>
          <w:rFonts w:hint="default" w:ascii="TimesNewRoman" w:hAnsi="TimesNewRoman" w:eastAsia="仿宋_GB2312" w:cs="TimesNewRoman"/>
          <w:kern w:val="0"/>
          <w:sz w:val="32"/>
          <w:szCs w:val="32"/>
          <w:lang w:val="en-US" w:eastAsia="zh-CN"/>
        </w:rPr>
        <w:t>18</w:t>
      </w:r>
      <w:r>
        <w:rPr>
          <w:rFonts w:hint="eastAsia" w:ascii="TimesNewRoman" w:hAnsi="TimesNewRoman" w:eastAsia="仿宋_GB2312" w:cs="TimesNewRoman"/>
          <w:kern w:val="0"/>
          <w:sz w:val="32"/>
          <w:szCs w:val="32"/>
          <w:lang w:val="en-US" w:eastAsia="zh-CN"/>
        </w:rPr>
        <w:t>.98</w:t>
      </w:r>
      <w:r>
        <w:rPr>
          <w:rFonts w:hint="eastAsia" w:ascii="TimesNewRoman" w:hAnsi="TimesNewRoman" w:eastAsia="仿宋_GB2312" w:cs="TimesNewRoman"/>
          <w:kern w:val="0"/>
          <w:sz w:val="32"/>
          <w:szCs w:val="32"/>
        </w:rPr>
        <w:t>万元，比</w:t>
      </w:r>
      <w:r>
        <w:rPr>
          <w:rFonts w:hint="default" w:ascii="TimesNewRoman" w:hAnsi="TimesNewRoman" w:eastAsia="仿宋_GB2312" w:cs="TimesNewRoman"/>
          <w:kern w:val="0"/>
          <w:sz w:val="32"/>
          <w:szCs w:val="32"/>
        </w:rPr>
        <w:t>202</w:t>
      </w:r>
      <w:r>
        <w:rPr>
          <w:rFonts w:hint="eastAsia" w:ascii="TimesNewRoman" w:hAnsi="TimesNewRoman" w:eastAsia="仿宋_GB2312" w:cs="TimesNewRoman"/>
          <w:kern w:val="0"/>
          <w:sz w:val="32"/>
          <w:szCs w:val="32"/>
          <w:lang w:val="en-US" w:eastAsia="zh-CN"/>
        </w:rPr>
        <w:t>4</w:t>
      </w:r>
      <w:r>
        <w:rPr>
          <w:rFonts w:hint="eastAsia" w:ascii="TimesNewRoman" w:hAnsi="TimesNewRoman" w:eastAsia="仿宋_GB2312" w:cs="TimesNewRoman"/>
          <w:kern w:val="0"/>
          <w:sz w:val="32"/>
          <w:szCs w:val="32"/>
        </w:rPr>
        <w:t>年预算</w:t>
      </w:r>
      <w:r>
        <w:rPr>
          <w:rFonts w:hint="eastAsia" w:ascii="TimesNewRoman" w:hAnsi="TimesNewRoman" w:eastAsia="仿宋_GB2312" w:cs="TimesNewRoman"/>
          <w:kern w:val="0"/>
          <w:sz w:val="32"/>
          <w:szCs w:val="32"/>
          <w:lang w:val="en-US" w:eastAsia="zh-CN"/>
        </w:rPr>
        <w:t>增加0.84</w:t>
      </w:r>
      <w:r>
        <w:rPr>
          <w:rFonts w:hint="eastAsia" w:ascii="TimesNewRoman" w:hAnsi="TimesNewRoman" w:eastAsia="仿宋_GB2312" w:cs="TimesNewRoman"/>
          <w:kern w:val="0"/>
          <w:sz w:val="32"/>
          <w:szCs w:val="32"/>
        </w:rPr>
        <w:t>万元，</w:t>
      </w:r>
      <w:r>
        <w:rPr>
          <w:rFonts w:hint="eastAsia" w:ascii="TimesNewRoman" w:hAnsi="TimesNewRoman" w:eastAsia="仿宋_GB2312" w:cs="TimesNewRoman"/>
          <w:kern w:val="0"/>
          <w:sz w:val="32"/>
          <w:szCs w:val="32"/>
          <w:lang w:val="en-US" w:eastAsia="zh-CN"/>
        </w:rPr>
        <w:t>增长4.63</w:t>
      </w:r>
      <w:r>
        <w:rPr>
          <w:rFonts w:hint="eastAsia" w:ascii="TimesNewRoman" w:hAnsi="TimesNewRoman" w:eastAsia="仿宋_GB2312" w:cs="TimesNewRoman"/>
          <w:kern w:val="0"/>
          <w:sz w:val="32"/>
          <w:szCs w:val="32"/>
        </w:rPr>
        <w:t>%，原因主要是</w:t>
      </w:r>
      <w:r>
        <w:rPr>
          <w:rFonts w:hint="eastAsia" w:ascii="TimesNewRoman" w:hAnsi="TimesNewRoman" w:eastAsia="仿宋_GB2312" w:cs="TimesNewRoman"/>
          <w:kern w:val="0"/>
          <w:sz w:val="32"/>
          <w:szCs w:val="32"/>
          <w:lang w:val="en-US" w:eastAsia="zh-CN"/>
        </w:rPr>
        <w:t>人员变动，基数调整。</w:t>
      </w:r>
    </w:p>
    <w:p w14:paraId="4B577818">
      <w:pPr>
        <w:ind w:firstLine="640" w:firstLineChars="200"/>
        <w:rPr>
          <w:rFonts w:hint="eastAsia" w:ascii="TimesNewRoman" w:hAnsi="TimesNewRoman" w:eastAsia="仿宋_GB2312" w:cs="TimesNewRoman"/>
          <w:kern w:val="0"/>
          <w:sz w:val="32"/>
          <w:szCs w:val="32"/>
          <w:lang w:val="en-US" w:eastAsia="zh-CN"/>
        </w:rPr>
      </w:pPr>
      <w:r>
        <w:rPr>
          <w:rFonts w:hint="eastAsia" w:ascii="TimesNewRoman" w:hAnsi="TimesNewRoman" w:eastAsia="仿宋_GB2312" w:cs="TimesNewRoman"/>
          <w:kern w:val="0"/>
          <w:sz w:val="32"/>
          <w:szCs w:val="32"/>
          <w:lang w:val="en-US" w:eastAsia="zh-CN"/>
        </w:rPr>
        <w:t>7</w:t>
      </w:r>
      <w:r>
        <w:rPr>
          <w:rFonts w:hint="eastAsia" w:ascii="TimesNewRoman" w:hAnsi="TimesNewRoman" w:eastAsia="仿宋_GB2312" w:cs="TimesNewRoman"/>
          <w:kern w:val="0"/>
          <w:sz w:val="32"/>
          <w:szCs w:val="32"/>
        </w:rPr>
        <w:t>、社会保障和就业支出（类）行政事业单位养老支出（款）机关事业单位职业年金缴费支出（项）</w:t>
      </w:r>
      <w:r>
        <w:rPr>
          <w:rFonts w:hint="default" w:ascii="TimesNewRoman" w:hAnsi="TimesNewRoman" w:eastAsia="仿宋_GB2312" w:cs="TimesNewRoman"/>
          <w:kern w:val="0"/>
          <w:sz w:val="32"/>
          <w:szCs w:val="32"/>
        </w:rPr>
        <w:t>202</w:t>
      </w:r>
      <w:r>
        <w:rPr>
          <w:rFonts w:hint="eastAsia" w:ascii="TimesNewRoman" w:hAnsi="TimesNewRoman" w:eastAsia="仿宋_GB2312" w:cs="TimesNewRoman"/>
          <w:kern w:val="0"/>
          <w:sz w:val="32"/>
          <w:szCs w:val="32"/>
          <w:lang w:val="en-US" w:eastAsia="zh-CN"/>
        </w:rPr>
        <w:t>5</w:t>
      </w:r>
      <w:r>
        <w:rPr>
          <w:rFonts w:hint="eastAsia" w:ascii="TimesNewRoman" w:hAnsi="TimesNewRoman" w:eastAsia="仿宋_GB2312" w:cs="TimesNewRoman"/>
          <w:kern w:val="0"/>
          <w:sz w:val="32"/>
          <w:szCs w:val="32"/>
        </w:rPr>
        <w:t>年预算</w:t>
      </w:r>
      <w:r>
        <w:rPr>
          <w:rFonts w:hint="eastAsia" w:ascii="TimesNewRoman" w:hAnsi="TimesNewRoman" w:eastAsia="仿宋_GB2312" w:cs="TimesNewRoman"/>
          <w:kern w:val="0"/>
          <w:sz w:val="32"/>
          <w:szCs w:val="32"/>
          <w:lang w:val="en-US" w:eastAsia="zh-CN"/>
        </w:rPr>
        <w:t>9.49</w:t>
      </w:r>
      <w:r>
        <w:rPr>
          <w:rFonts w:hint="eastAsia" w:ascii="TimesNewRoman" w:hAnsi="TimesNewRoman" w:eastAsia="仿宋_GB2312" w:cs="TimesNewRoman"/>
          <w:kern w:val="0"/>
          <w:sz w:val="32"/>
          <w:szCs w:val="32"/>
        </w:rPr>
        <w:t>万元，比</w:t>
      </w:r>
      <w:r>
        <w:rPr>
          <w:rFonts w:hint="default" w:ascii="TimesNewRoman" w:hAnsi="TimesNewRoman" w:eastAsia="仿宋_GB2312" w:cs="TimesNewRoman"/>
          <w:kern w:val="0"/>
          <w:sz w:val="32"/>
          <w:szCs w:val="32"/>
        </w:rPr>
        <w:t>202</w:t>
      </w:r>
      <w:r>
        <w:rPr>
          <w:rFonts w:hint="eastAsia" w:ascii="TimesNewRoman" w:hAnsi="TimesNewRoman" w:eastAsia="仿宋_GB2312" w:cs="TimesNewRoman"/>
          <w:kern w:val="0"/>
          <w:sz w:val="32"/>
          <w:szCs w:val="32"/>
          <w:lang w:val="en-US" w:eastAsia="zh-CN"/>
        </w:rPr>
        <w:t>4</w:t>
      </w:r>
      <w:r>
        <w:rPr>
          <w:rFonts w:hint="eastAsia" w:ascii="TimesNewRoman" w:hAnsi="TimesNewRoman" w:eastAsia="仿宋_GB2312" w:cs="TimesNewRoman"/>
          <w:kern w:val="0"/>
          <w:sz w:val="32"/>
          <w:szCs w:val="32"/>
        </w:rPr>
        <w:t>年预算</w:t>
      </w:r>
      <w:r>
        <w:rPr>
          <w:rFonts w:hint="eastAsia" w:ascii="TimesNewRoman" w:hAnsi="TimesNewRoman" w:eastAsia="仿宋_GB2312" w:cs="TimesNewRoman"/>
          <w:kern w:val="0"/>
          <w:sz w:val="32"/>
          <w:szCs w:val="32"/>
          <w:lang w:val="en-US" w:eastAsia="zh-CN"/>
        </w:rPr>
        <w:t>增加0.42</w:t>
      </w:r>
      <w:r>
        <w:rPr>
          <w:rFonts w:hint="eastAsia" w:ascii="TimesNewRoman" w:hAnsi="TimesNewRoman" w:eastAsia="仿宋_GB2312" w:cs="TimesNewRoman"/>
          <w:kern w:val="0"/>
          <w:sz w:val="32"/>
          <w:szCs w:val="32"/>
        </w:rPr>
        <w:t>万元，</w:t>
      </w:r>
      <w:r>
        <w:rPr>
          <w:rFonts w:hint="eastAsia" w:ascii="TimesNewRoman" w:hAnsi="TimesNewRoman" w:eastAsia="仿宋_GB2312" w:cs="TimesNewRoman"/>
          <w:kern w:val="0"/>
          <w:sz w:val="32"/>
          <w:szCs w:val="32"/>
          <w:lang w:val="en-US" w:eastAsia="zh-CN"/>
        </w:rPr>
        <w:t>增长4.63</w:t>
      </w:r>
      <w:r>
        <w:rPr>
          <w:rFonts w:hint="eastAsia" w:ascii="TimesNewRoman" w:hAnsi="TimesNewRoman" w:eastAsia="仿宋_GB2312" w:cs="TimesNewRoman"/>
          <w:kern w:val="0"/>
          <w:sz w:val="32"/>
          <w:szCs w:val="32"/>
        </w:rPr>
        <w:t>%，原因主要是</w:t>
      </w:r>
      <w:r>
        <w:rPr>
          <w:rFonts w:hint="eastAsia" w:ascii="TimesNewRoman" w:hAnsi="TimesNewRoman" w:eastAsia="仿宋_GB2312" w:cs="TimesNewRoman"/>
          <w:kern w:val="0"/>
          <w:sz w:val="32"/>
          <w:szCs w:val="32"/>
          <w:lang w:val="en-US" w:eastAsia="zh-CN"/>
        </w:rPr>
        <w:t>人员变动，基数调整。</w:t>
      </w:r>
    </w:p>
    <w:p w14:paraId="0F4E456F">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lang w:val="en-US" w:eastAsia="zh-CN"/>
        </w:rPr>
        <w:t>8、</w:t>
      </w:r>
      <w:r>
        <w:rPr>
          <w:rFonts w:hint="eastAsia" w:ascii="TimesNewRoman" w:hAnsi="TimesNewRoman" w:eastAsia="仿宋_GB2312" w:cs="TimesNewRoman"/>
          <w:kern w:val="0"/>
          <w:sz w:val="32"/>
          <w:szCs w:val="32"/>
        </w:rPr>
        <w:t>社会保障和就业支出（类）</w:t>
      </w:r>
      <w:r>
        <w:rPr>
          <w:rFonts w:hint="eastAsia" w:ascii="TimesNewRoman" w:hAnsi="TimesNewRoman" w:eastAsia="仿宋_GB2312" w:cs="TimesNewRoman"/>
          <w:kern w:val="0"/>
          <w:sz w:val="32"/>
          <w:szCs w:val="32"/>
          <w:lang w:val="en-US" w:eastAsia="zh-CN"/>
        </w:rPr>
        <w:t>其他社会保障和就业支出</w:t>
      </w:r>
      <w:r>
        <w:rPr>
          <w:rFonts w:hint="eastAsia" w:ascii="TimesNewRoman" w:hAnsi="TimesNewRoman" w:eastAsia="仿宋_GB2312" w:cs="TimesNewRoman"/>
          <w:kern w:val="0"/>
          <w:sz w:val="32"/>
          <w:szCs w:val="32"/>
        </w:rPr>
        <w:t>（款）</w:t>
      </w:r>
      <w:r>
        <w:rPr>
          <w:rFonts w:hint="eastAsia" w:ascii="TimesNewRoman" w:hAnsi="TimesNewRoman" w:eastAsia="仿宋_GB2312" w:cs="TimesNewRoman"/>
          <w:kern w:val="0"/>
          <w:sz w:val="32"/>
          <w:szCs w:val="32"/>
          <w:lang w:val="en-US" w:eastAsia="zh-CN"/>
        </w:rPr>
        <w:t>其他社会保障和就业支出</w:t>
      </w:r>
      <w:r>
        <w:rPr>
          <w:rFonts w:hint="eastAsia" w:ascii="TimesNewRoman" w:hAnsi="TimesNewRoman" w:eastAsia="仿宋_GB2312" w:cs="TimesNewRoman"/>
          <w:kern w:val="0"/>
          <w:sz w:val="32"/>
          <w:szCs w:val="32"/>
        </w:rPr>
        <w:t>（项）</w:t>
      </w:r>
      <w:r>
        <w:rPr>
          <w:rFonts w:hint="default" w:ascii="TimesNewRoman" w:hAnsi="TimesNewRoman" w:eastAsia="仿宋_GB2312" w:cs="TimesNewRoman"/>
          <w:kern w:val="0"/>
          <w:sz w:val="32"/>
          <w:szCs w:val="32"/>
        </w:rPr>
        <w:t>202</w:t>
      </w:r>
      <w:r>
        <w:rPr>
          <w:rFonts w:hint="eastAsia" w:ascii="TimesNewRoman" w:hAnsi="TimesNewRoman" w:eastAsia="仿宋_GB2312" w:cs="TimesNewRoman"/>
          <w:kern w:val="0"/>
          <w:sz w:val="32"/>
          <w:szCs w:val="32"/>
          <w:lang w:val="en-US" w:eastAsia="zh-CN"/>
        </w:rPr>
        <w:t>5</w:t>
      </w:r>
      <w:r>
        <w:rPr>
          <w:rFonts w:hint="eastAsia" w:ascii="TimesNewRoman" w:hAnsi="TimesNewRoman" w:eastAsia="仿宋_GB2312" w:cs="TimesNewRoman"/>
          <w:kern w:val="0"/>
          <w:sz w:val="32"/>
          <w:szCs w:val="32"/>
        </w:rPr>
        <w:t>年预算</w:t>
      </w:r>
      <w:r>
        <w:rPr>
          <w:rFonts w:hint="eastAsia" w:ascii="TimesNewRoman" w:hAnsi="TimesNewRoman" w:eastAsia="仿宋_GB2312" w:cs="TimesNewRoman"/>
          <w:kern w:val="0"/>
          <w:sz w:val="32"/>
          <w:szCs w:val="32"/>
          <w:lang w:val="en-US" w:eastAsia="zh-CN"/>
        </w:rPr>
        <w:t>0.17</w:t>
      </w:r>
      <w:r>
        <w:rPr>
          <w:rFonts w:hint="eastAsia" w:ascii="TimesNewRoman" w:hAnsi="TimesNewRoman" w:eastAsia="仿宋_GB2312" w:cs="TimesNewRoman"/>
          <w:kern w:val="0"/>
          <w:sz w:val="32"/>
          <w:szCs w:val="32"/>
        </w:rPr>
        <w:t>万元，比</w:t>
      </w:r>
      <w:r>
        <w:rPr>
          <w:rFonts w:hint="default" w:ascii="TimesNewRoman" w:hAnsi="TimesNewRoman" w:eastAsia="仿宋_GB2312" w:cs="TimesNewRoman"/>
          <w:kern w:val="0"/>
          <w:sz w:val="32"/>
          <w:szCs w:val="32"/>
        </w:rPr>
        <w:t>202</w:t>
      </w:r>
      <w:r>
        <w:rPr>
          <w:rFonts w:hint="eastAsia" w:ascii="TimesNewRoman" w:hAnsi="TimesNewRoman" w:eastAsia="仿宋_GB2312" w:cs="TimesNewRoman"/>
          <w:kern w:val="0"/>
          <w:sz w:val="32"/>
          <w:szCs w:val="32"/>
          <w:lang w:val="en-US" w:eastAsia="zh-CN"/>
        </w:rPr>
        <w:t>4</w:t>
      </w:r>
      <w:r>
        <w:rPr>
          <w:rFonts w:hint="eastAsia" w:ascii="TimesNewRoman" w:hAnsi="TimesNewRoman" w:eastAsia="仿宋_GB2312" w:cs="TimesNewRoman"/>
          <w:kern w:val="0"/>
          <w:sz w:val="32"/>
          <w:szCs w:val="32"/>
        </w:rPr>
        <w:t>年预算</w:t>
      </w:r>
      <w:r>
        <w:rPr>
          <w:rFonts w:hint="eastAsia" w:ascii="TimesNewRoman" w:hAnsi="TimesNewRoman" w:eastAsia="仿宋_GB2312" w:cs="TimesNewRoman"/>
          <w:kern w:val="0"/>
          <w:sz w:val="32"/>
          <w:szCs w:val="32"/>
          <w:lang w:val="en-US" w:eastAsia="zh-CN"/>
        </w:rPr>
        <w:t>减少1.30</w:t>
      </w:r>
      <w:r>
        <w:rPr>
          <w:rFonts w:hint="eastAsia" w:ascii="TimesNewRoman" w:hAnsi="TimesNewRoman" w:eastAsia="仿宋_GB2312" w:cs="TimesNewRoman"/>
          <w:kern w:val="0"/>
          <w:sz w:val="32"/>
          <w:szCs w:val="32"/>
        </w:rPr>
        <w:t>万元，</w:t>
      </w:r>
      <w:r>
        <w:rPr>
          <w:rFonts w:hint="eastAsia" w:ascii="TimesNewRoman" w:hAnsi="TimesNewRoman" w:eastAsia="仿宋_GB2312" w:cs="TimesNewRoman"/>
          <w:kern w:val="0"/>
          <w:sz w:val="32"/>
          <w:szCs w:val="32"/>
          <w:lang w:val="en-US" w:eastAsia="zh-CN"/>
        </w:rPr>
        <w:t>下降88.43</w:t>
      </w:r>
      <w:r>
        <w:rPr>
          <w:rFonts w:hint="eastAsia" w:ascii="TimesNewRoman" w:hAnsi="TimesNewRoman" w:eastAsia="仿宋_GB2312" w:cs="TimesNewRoman"/>
          <w:kern w:val="0"/>
          <w:sz w:val="32"/>
          <w:szCs w:val="32"/>
        </w:rPr>
        <w:t>%，原因主要是</w:t>
      </w:r>
      <w:r>
        <w:rPr>
          <w:rFonts w:hint="eastAsia" w:ascii="TimesNewRoman" w:hAnsi="TimesNewRoman" w:eastAsia="仿宋_GB2312" w:cs="TimesNewRoman"/>
          <w:kern w:val="0"/>
          <w:sz w:val="32"/>
          <w:szCs w:val="32"/>
          <w:lang w:val="en-US" w:eastAsia="zh-CN"/>
        </w:rPr>
        <w:t>人员变动，基数调整。</w:t>
      </w:r>
    </w:p>
    <w:p w14:paraId="22A3B46E">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lang w:val="en-US" w:eastAsia="zh-CN"/>
        </w:rPr>
        <w:t>9、</w:t>
      </w:r>
      <w:r>
        <w:rPr>
          <w:rFonts w:hint="eastAsia" w:ascii="TimesNewRoman" w:hAnsi="TimesNewRoman" w:eastAsia="仿宋_GB2312" w:cs="TimesNewRoman"/>
          <w:kern w:val="0"/>
          <w:sz w:val="32"/>
          <w:szCs w:val="32"/>
        </w:rPr>
        <w:t>卫生健康支出</w:t>
      </w:r>
      <w:r>
        <w:rPr>
          <w:rFonts w:hint="eastAsia" w:ascii="TimesNewRoman" w:hAnsi="TimesNewRoman" w:eastAsia="仿宋_GB2312" w:cs="TimesNewRoman"/>
          <w:kern w:val="0"/>
          <w:sz w:val="32"/>
          <w:szCs w:val="32"/>
          <w:lang w:eastAsia="zh-CN"/>
        </w:rPr>
        <w:t>（</w:t>
      </w:r>
      <w:r>
        <w:rPr>
          <w:rFonts w:hint="eastAsia" w:ascii="TimesNewRoman" w:hAnsi="TimesNewRoman" w:eastAsia="仿宋_GB2312" w:cs="TimesNewRoman"/>
          <w:kern w:val="0"/>
          <w:sz w:val="32"/>
          <w:szCs w:val="32"/>
        </w:rPr>
        <w:t>类</w:t>
      </w:r>
      <w:r>
        <w:rPr>
          <w:rFonts w:hint="eastAsia" w:ascii="TimesNewRoman" w:hAnsi="TimesNewRoman" w:eastAsia="仿宋_GB2312" w:cs="TimesNewRoman"/>
          <w:kern w:val="0"/>
          <w:sz w:val="32"/>
          <w:szCs w:val="32"/>
          <w:lang w:eastAsia="zh-CN"/>
        </w:rPr>
        <w:t>）</w:t>
      </w:r>
      <w:r>
        <w:rPr>
          <w:rFonts w:hint="eastAsia" w:ascii="TimesNewRoman" w:hAnsi="TimesNewRoman" w:eastAsia="仿宋_GB2312" w:cs="TimesNewRoman"/>
          <w:kern w:val="0"/>
          <w:sz w:val="32"/>
          <w:szCs w:val="32"/>
        </w:rPr>
        <w:t>行政事业单位医疗（款）行政单位医疗（项）</w:t>
      </w:r>
      <w:r>
        <w:rPr>
          <w:rFonts w:hint="default" w:ascii="TimesNewRoman" w:hAnsi="TimesNewRoman" w:eastAsia="仿宋_GB2312" w:cs="TimesNewRoman"/>
          <w:kern w:val="0"/>
          <w:sz w:val="32"/>
          <w:szCs w:val="32"/>
        </w:rPr>
        <w:t>202</w:t>
      </w:r>
      <w:r>
        <w:rPr>
          <w:rFonts w:hint="eastAsia" w:ascii="TimesNewRoman" w:hAnsi="TimesNewRoman" w:eastAsia="仿宋_GB2312" w:cs="TimesNewRoman"/>
          <w:kern w:val="0"/>
          <w:sz w:val="32"/>
          <w:szCs w:val="32"/>
          <w:lang w:val="en-US" w:eastAsia="zh-CN"/>
        </w:rPr>
        <w:t>5</w:t>
      </w:r>
      <w:r>
        <w:rPr>
          <w:rFonts w:hint="eastAsia" w:ascii="TimesNewRoman" w:hAnsi="TimesNewRoman" w:eastAsia="仿宋_GB2312" w:cs="TimesNewRoman"/>
          <w:kern w:val="0"/>
          <w:sz w:val="32"/>
          <w:szCs w:val="32"/>
        </w:rPr>
        <w:t>年预算</w:t>
      </w:r>
      <w:r>
        <w:rPr>
          <w:rFonts w:hint="eastAsia" w:ascii="TimesNewRoman" w:hAnsi="TimesNewRoman" w:eastAsia="仿宋_GB2312" w:cs="TimesNewRoman"/>
          <w:kern w:val="0"/>
          <w:sz w:val="32"/>
          <w:szCs w:val="32"/>
          <w:lang w:val="en-US" w:eastAsia="zh-CN"/>
        </w:rPr>
        <w:t>6.15</w:t>
      </w:r>
      <w:r>
        <w:rPr>
          <w:rFonts w:hint="eastAsia" w:ascii="TimesNewRoman" w:hAnsi="TimesNewRoman" w:eastAsia="仿宋_GB2312" w:cs="TimesNewRoman"/>
          <w:kern w:val="0"/>
          <w:sz w:val="32"/>
          <w:szCs w:val="32"/>
        </w:rPr>
        <w:t>万元，比</w:t>
      </w:r>
      <w:r>
        <w:rPr>
          <w:rFonts w:hint="default" w:ascii="TimesNewRoman" w:hAnsi="TimesNewRoman" w:eastAsia="仿宋_GB2312" w:cs="TimesNewRoman"/>
          <w:kern w:val="0"/>
          <w:sz w:val="32"/>
          <w:szCs w:val="32"/>
        </w:rPr>
        <w:t>202</w:t>
      </w:r>
      <w:r>
        <w:rPr>
          <w:rFonts w:hint="eastAsia" w:ascii="TimesNewRoman" w:hAnsi="TimesNewRoman" w:eastAsia="仿宋_GB2312" w:cs="TimesNewRoman"/>
          <w:kern w:val="0"/>
          <w:sz w:val="32"/>
          <w:szCs w:val="32"/>
          <w:lang w:val="en-US" w:eastAsia="zh-CN"/>
        </w:rPr>
        <w:t>4</w:t>
      </w:r>
      <w:r>
        <w:rPr>
          <w:rFonts w:hint="eastAsia" w:ascii="TimesNewRoman" w:hAnsi="TimesNewRoman" w:eastAsia="仿宋_GB2312" w:cs="TimesNewRoman"/>
          <w:kern w:val="0"/>
          <w:sz w:val="32"/>
          <w:szCs w:val="32"/>
        </w:rPr>
        <w:t>年预算</w:t>
      </w:r>
      <w:r>
        <w:rPr>
          <w:rFonts w:hint="eastAsia" w:ascii="TimesNewRoman" w:hAnsi="TimesNewRoman" w:eastAsia="仿宋_GB2312" w:cs="TimesNewRoman"/>
          <w:kern w:val="0"/>
          <w:sz w:val="32"/>
          <w:szCs w:val="32"/>
          <w:lang w:val="en-US" w:eastAsia="zh-CN"/>
        </w:rPr>
        <w:t>减少0.67</w:t>
      </w:r>
      <w:r>
        <w:rPr>
          <w:rFonts w:hint="eastAsia" w:ascii="TimesNewRoman" w:hAnsi="TimesNewRoman" w:eastAsia="仿宋_GB2312" w:cs="TimesNewRoman"/>
          <w:kern w:val="0"/>
          <w:sz w:val="32"/>
          <w:szCs w:val="32"/>
        </w:rPr>
        <w:t>万元，</w:t>
      </w:r>
      <w:r>
        <w:rPr>
          <w:rFonts w:hint="eastAsia" w:ascii="TimesNewRoman" w:hAnsi="TimesNewRoman" w:eastAsia="仿宋_GB2312" w:cs="TimesNewRoman"/>
          <w:kern w:val="0"/>
          <w:sz w:val="32"/>
          <w:szCs w:val="32"/>
          <w:lang w:val="en-US" w:eastAsia="zh-CN"/>
        </w:rPr>
        <w:t>下降9.89</w:t>
      </w:r>
      <w:r>
        <w:rPr>
          <w:rFonts w:hint="eastAsia" w:ascii="TimesNewRoman" w:hAnsi="TimesNewRoman" w:eastAsia="仿宋_GB2312" w:cs="TimesNewRoman"/>
          <w:kern w:val="0"/>
          <w:sz w:val="32"/>
          <w:szCs w:val="32"/>
        </w:rPr>
        <w:t>%，原因主要是</w:t>
      </w:r>
      <w:r>
        <w:rPr>
          <w:rFonts w:hint="eastAsia" w:ascii="TimesNewRoman" w:hAnsi="TimesNewRoman" w:eastAsia="仿宋_GB2312" w:cs="TimesNewRoman"/>
          <w:kern w:val="0"/>
          <w:sz w:val="32"/>
          <w:szCs w:val="32"/>
          <w:lang w:val="en-US" w:eastAsia="zh-CN"/>
        </w:rPr>
        <w:t>人员变动，基数调整。</w:t>
      </w:r>
    </w:p>
    <w:p w14:paraId="076F4621">
      <w:pPr>
        <w:ind w:firstLine="640" w:firstLineChars="200"/>
        <w:rPr>
          <w:rFonts w:hint="eastAsia" w:ascii="TimesNewRoman" w:hAnsi="TimesNewRoman" w:eastAsia="仿宋_GB2312" w:cs="TimesNewRoman"/>
          <w:kern w:val="0"/>
          <w:sz w:val="32"/>
          <w:szCs w:val="32"/>
          <w:lang w:val="en-US" w:eastAsia="zh-CN"/>
        </w:rPr>
      </w:pPr>
      <w:r>
        <w:rPr>
          <w:rFonts w:hint="eastAsia" w:ascii="TimesNewRoman" w:hAnsi="TimesNewRoman" w:eastAsia="仿宋_GB2312" w:cs="TimesNewRoman"/>
          <w:kern w:val="0"/>
          <w:sz w:val="32"/>
          <w:szCs w:val="32"/>
          <w:lang w:val="en-US" w:eastAsia="zh-CN"/>
        </w:rPr>
        <w:t>10、</w:t>
      </w:r>
      <w:r>
        <w:rPr>
          <w:rFonts w:hint="eastAsia" w:ascii="TimesNewRoman" w:hAnsi="TimesNewRoman" w:eastAsia="仿宋_GB2312" w:cs="TimesNewRoman"/>
          <w:kern w:val="0"/>
          <w:sz w:val="32"/>
          <w:szCs w:val="32"/>
        </w:rPr>
        <w:t>卫生健康支出</w:t>
      </w:r>
      <w:r>
        <w:rPr>
          <w:rFonts w:hint="eastAsia" w:ascii="TimesNewRoman" w:hAnsi="TimesNewRoman" w:eastAsia="仿宋_GB2312" w:cs="TimesNewRoman"/>
          <w:kern w:val="0"/>
          <w:sz w:val="32"/>
          <w:szCs w:val="32"/>
          <w:lang w:eastAsia="zh-CN"/>
        </w:rPr>
        <w:t>（</w:t>
      </w:r>
      <w:r>
        <w:rPr>
          <w:rFonts w:hint="eastAsia" w:ascii="TimesNewRoman" w:hAnsi="TimesNewRoman" w:eastAsia="仿宋_GB2312" w:cs="TimesNewRoman"/>
          <w:kern w:val="0"/>
          <w:sz w:val="32"/>
          <w:szCs w:val="32"/>
        </w:rPr>
        <w:t>类</w:t>
      </w:r>
      <w:r>
        <w:rPr>
          <w:rFonts w:hint="eastAsia" w:ascii="TimesNewRoman" w:hAnsi="TimesNewRoman" w:eastAsia="仿宋_GB2312" w:cs="TimesNewRoman"/>
          <w:kern w:val="0"/>
          <w:sz w:val="32"/>
          <w:szCs w:val="32"/>
          <w:lang w:eastAsia="zh-CN"/>
        </w:rPr>
        <w:t>）</w:t>
      </w:r>
      <w:r>
        <w:rPr>
          <w:rFonts w:hint="eastAsia" w:ascii="TimesNewRoman" w:hAnsi="TimesNewRoman" w:eastAsia="仿宋_GB2312" w:cs="TimesNewRoman"/>
          <w:kern w:val="0"/>
          <w:sz w:val="32"/>
          <w:szCs w:val="32"/>
        </w:rPr>
        <w:t>行政事业单位医疗（款）公务员医疗补助（项）</w:t>
      </w:r>
      <w:r>
        <w:rPr>
          <w:rFonts w:hint="default" w:ascii="TimesNewRoman" w:hAnsi="TimesNewRoman" w:eastAsia="仿宋_GB2312" w:cs="TimesNewRoman"/>
          <w:kern w:val="0"/>
          <w:sz w:val="32"/>
          <w:szCs w:val="32"/>
        </w:rPr>
        <w:t>202</w:t>
      </w:r>
      <w:r>
        <w:rPr>
          <w:rFonts w:hint="eastAsia" w:ascii="TimesNewRoman" w:hAnsi="TimesNewRoman" w:eastAsia="仿宋_GB2312" w:cs="TimesNewRoman"/>
          <w:kern w:val="0"/>
          <w:sz w:val="32"/>
          <w:szCs w:val="32"/>
          <w:lang w:val="en-US" w:eastAsia="zh-CN"/>
        </w:rPr>
        <w:t>5</w:t>
      </w:r>
      <w:r>
        <w:rPr>
          <w:rFonts w:hint="eastAsia" w:ascii="TimesNewRoman" w:hAnsi="TimesNewRoman" w:eastAsia="仿宋_GB2312" w:cs="TimesNewRoman"/>
          <w:kern w:val="0"/>
          <w:sz w:val="32"/>
          <w:szCs w:val="32"/>
        </w:rPr>
        <w:t>年预算</w:t>
      </w:r>
      <w:r>
        <w:rPr>
          <w:rFonts w:hint="eastAsia" w:ascii="TimesNewRoman" w:hAnsi="TimesNewRoman" w:eastAsia="仿宋_GB2312" w:cs="TimesNewRoman"/>
          <w:kern w:val="0"/>
          <w:sz w:val="32"/>
          <w:szCs w:val="32"/>
          <w:lang w:val="en-US" w:eastAsia="zh-CN"/>
        </w:rPr>
        <w:t>2.56</w:t>
      </w:r>
      <w:r>
        <w:rPr>
          <w:rFonts w:hint="eastAsia" w:ascii="TimesNewRoman" w:hAnsi="TimesNewRoman" w:eastAsia="仿宋_GB2312" w:cs="TimesNewRoman"/>
          <w:kern w:val="0"/>
          <w:sz w:val="32"/>
          <w:szCs w:val="32"/>
        </w:rPr>
        <w:t>万元，比</w:t>
      </w:r>
      <w:r>
        <w:rPr>
          <w:rFonts w:hint="default" w:ascii="TimesNewRoman" w:hAnsi="TimesNewRoman" w:eastAsia="仿宋_GB2312" w:cs="TimesNewRoman"/>
          <w:kern w:val="0"/>
          <w:sz w:val="32"/>
          <w:szCs w:val="32"/>
        </w:rPr>
        <w:t>202</w:t>
      </w:r>
      <w:r>
        <w:rPr>
          <w:rFonts w:hint="eastAsia" w:ascii="TimesNewRoman" w:hAnsi="TimesNewRoman" w:eastAsia="仿宋_GB2312" w:cs="TimesNewRoman"/>
          <w:kern w:val="0"/>
          <w:sz w:val="32"/>
          <w:szCs w:val="32"/>
          <w:lang w:val="en-US" w:eastAsia="zh-CN"/>
        </w:rPr>
        <w:t>4</w:t>
      </w:r>
      <w:r>
        <w:rPr>
          <w:rFonts w:hint="eastAsia" w:ascii="TimesNewRoman" w:hAnsi="TimesNewRoman" w:eastAsia="仿宋_GB2312" w:cs="TimesNewRoman"/>
          <w:kern w:val="0"/>
          <w:sz w:val="32"/>
          <w:szCs w:val="32"/>
        </w:rPr>
        <w:t>年预算</w:t>
      </w:r>
      <w:r>
        <w:rPr>
          <w:rFonts w:hint="eastAsia" w:ascii="TimesNewRoman" w:hAnsi="TimesNewRoman" w:eastAsia="仿宋_GB2312" w:cs="TimesNewRoman"/>
          <w:kern w:val="0"/>
          <w:sz w:val="32"/>
          <w:szCs w:val="32"/>
          <w:lang w:val="en-US" w:eastAsia="zh-CN"/>
        </w:rPr>
        <w:t>增加0.12</w:t>
      </w:r>
      <w:r>
        <w:rPr>
          <w:rFonts w:hint="eastAsia" w:ascii="TimesNewRoman" w:hAnsi="TimesNewRoman" w:eastAsia="仿宋_GB2312" w:cs="TimesNewRoman"/>
          <w:kern w:val="0"/>
          <w:sz w:val="32"/>
          <w:szCs w:val="32"/>
        </w:rPr>
        <w:t>万元，</w:t>
      </w:r>
      <w:r>
        <w:rPr>
          <w:rFonts w:hint="eastAsia" w:ascii="TimesNewRoman" w:hAnsi="TimesNewRoman" w:eastAsia="仿宋_GB2312" w:cs="TimesNewRoman"/>
          <w:kern w:val="0"/>
          <w:sz w:val="32"/>
          <w:szCs w:val="32"/>
          <w:lang w:val="en-US" w:eastAsia="zh-CN"/>
        </w:rPr>
        <w:t>增长5.13</w:t>
      </w:r>
      <w:r>
        <w:rPr>
          <w:rFonts w:hint="eastAsia" w:ascii="TimesNewRoman" w:hAnsi="TimesNewRoman" w:eastAsia="仿宋_GB2312" w:cs="TimesNewRoman"/>
          <w:kern w:val="0"/>
          <w:sz w:val="32"/>
          <w:szCs w:val="32"/>
        </w:rPr>
        <w:t>%，原因主要是</w:t>
      </w:r>
      <w:r>
        <w:rPr>
          <w:rFonts w:hint="eastAsia" w:ascii="TimesNewRoman" w:hAnsi="TimesNewRoman" w:eastAsia="仿宋_GB2312" w:cs="TimesNewRoman"/>
          <w:kern w:val="0"/>
          <w:sz w:val="32"/>
          <w:szCs w:val="32"/>
          <w:lang w:val="en-US" w:eastAsia="zh-CN"/>
        </w:rPr>
        <w:t>人员变动，基数调整。</w:t>
      </w:r>
    </w:p>
    <w:p w14:paraId="087CB5F2">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lang w:val="en-US" w:eastAsia="zh-CN"/>
        </w:rPr>
        <w:t>11、</w:t>
      </w:r>
      <w:r>
        <w:rPr>
          <w:rFonts w:hint="eastAsia" w:ascii="TimesNewRoman" w:hAnsi="TimesNewRoman" w:eastAsia="仿宋_GB2312" w:cs="TimesNewRoman"/>
          <w:kern w:val="0"/>
          <w:sz w:val="32"/>
          <w:szCs w:val="32"/>
        </w:rPr>
        <w:t>住房保障支出</w:t>
      </w:r>
      <w:r>
        <w:rPr>
          <w:rFonts w:hint="eastAsia" w:ascii="TimesNewRoman" w:hAnsi="TimesNewRoman" w:eastAsia="仿宋_GB2312" w:cs="TimesNewRoman"/>
          <w:kern w:val="0"/>
          <w:sz w:val="32"/>
          <w:szCs w:val="32"/>
          <w:lang w:eastAsia="zh-CN"/>
        </w:rPr>
        <w:t>（</w:t>
      </w:r>
      <w:r>
        <w:rPr>
          <w:rFonts w:hint="eastAsia" w:ascii="TimesNewRoman" w:hAnsi="TimesNewRoman" w:eastAsia="仿宋_GB2312" w:cs="TimesNewRoman"/>
          <w:kern w:val="0"/>
          <w:sz w:val="32"/>
          <w:szCs w:val="32"/>
        </w:rPr>
        <w:t>类</w:t>
      </w:r>
      <w:r>
        <w:rPr>
          <w:rFonts w:hint="eastAsia" w:ascii="TimesNewRoman" w:hAnsi="TimesNewRoman" w:eastAsia="仿宋_GB2312" w:cs="TimesNewRoman"/>
          <w:kern w:val="0"/>
          <w:sz w:val="32"/>
          <w:szCs w:val="32"/>
          <w:lang w:eastAsia="zh-CN"/>
        </w:rPr>
        <w:t>）</w:t>
      </w:r>
      <w:r>
        <w:rPr>
          <w:rFonts w:hint="eastAsia" w:ascii="TimesNewRoman" w:hAnsi="TimesNewRoman" w:eastAsia="仿宋_GB2312" w:cs="TimesNewRoman"/>
          <w:kern w:val="0"/>
          <w:sz w:val="32"/>
          <w:szCs w:val="32"/>
        </w:rPr>
        <w:t>住房改革支出（款）住房公积金（项）</w:t>
      </w:r>
      <w:r>
        <w:rPr>
          <w:rFonts w:hint="default" w:ascii="TimesNewRoman" w:hAnsi="TimesNewRoman" w:eastAsia="仿宋_GB2312" w:cs="TimesNewRoman"/>
          <w:kern w:val="0"/>
          <w:sz w:val="32"/>
          <w:szCs w:val="32"/>
        </w:rPr>
        <w:t>202</w:t>
      </w:r>
      <w:r>
        <w:rPr>
          <w:rFonts w:hint="eastAsia" w:ascii="TimesNewRoman" w:hAnsi="TimesNewRoman" w:eastAsia="仿宋_GB2312" w:cs="TimesNewRoman"/>
          <w:kern w:val="0"/>
          <w:sz w:val="32"/>
          <w:szCs w:val="32"/>
          <w:lang w:val="en-US" w:eastAsia="zh-CN"/>
        </w:rPr>
        <w:t>5</w:t>
      </w:r>
      <w:r>
        <w:rPr>
          <w:rFonts w:hint="eastAsia" w:ascii="TimesNewRoman" w:hAnsi="TimesNewRoman" w:eastAsia="仿宋_GB2312" w:cs="TimesNewRoman"/>
          <w:kern w:val="0"/>
          <w:sz w:val="32"/>
          <w:szCs w:val="32"/>
        </w:rPr>
        <w:t>年预算</w:t>
      </w:r>
      <w:r>
        <w:rPr>
          <w:rFonts w:hint="eastAsia" w:ascii="TimesNewRoman" w:hAnsi="TimesNewRoman" w:eastAsia="仿宋_GB2312" w:cs="TimesNewRoman"/>
          <w:kern w:val="0"/>
          <w:sz w:val="32"/>
          <w:szCs w:val="32"/>
          <w:lang w:val="en-US" w:eastAsia="zh-CN"/>
        </w:rPr>
        <w:t>17.87</w:t>
      </w:r>
      <w:r>
        <w:rPr>
          <w:rFonts w:hint="eastAsia" w:ascii="TimesNewRoman" w:hAnsi="TimesNewRoman" w:eastAsia="仿宋_GB2312" w:cs="TimesNewRoman"/>
          <w:kern w:val="0"/>
          <w:sz w:val="32"/>
          <w:szCs w:val="32"/>
        </w:rPr>
        <w:t>万元，比</w:t>
      </w:r>
      <w:r>
        <w:rPr>
          <w:rFonts w:hint="default" w:ascii="TimesNewRoman" w:hAnsi="TimesNewRoman" w:eastAsia="仿宋_GB2312" w:cs="TimesNewRoman"/>
          <w:kern w:val="0"/>
          <w:sz w:val="32"/>
          <w:szCs w:val="32"/>
        </w:rPr>
        <w:t>202</w:t>
      </w:r>
      <w:r>
        <w:rPr>
          <w:rFonts w:hint="eastAsia" w:ascii="TimesNewRoman" w:hAnsi="TimesNewRoman" w:eastAsia="仿宋_GB2312" w:cs="TimesNewRoman"/>
          <w:kern w:val="0"/>
          <w:sz w:val="32"/>
          <w:szCs w:val="32"/>
          <w:lang w:val="en-US" w:eastAsia="zh-CN"/>
        </w:rPr>
        <w:t>4</w:t>
      </w:r>
      <w:r>
        <w:rPr>
          <w:rFonts w:hint="eastAsia" w:ascii="TimesNewRoman" w:hAnsi="TimesNewRoman" w:eastAsia="仿宋_GB2312" w:cs="TimesNewRoman"/>
          <w:kern w:val="0"/>
          <w:sz w:val="32"/>
          <w:szCs w:val="32"/>
        </w:rPr>
        <w:t>年预算</w:t>
      </w:r>
      <w:r>
        <w:rPr>
          <w:rFonts w:hint="eastAsia" w:ascii="TimesNewRoman" w:hAnsi="TimesNewRoman" w:eastAsia="仿宋_GB2312" w:cs="TimesNewRoman"/>
          <w:kern w:val="0"/>
          <w:sz w:val="32"/>
          <w:szCs w:val="32"/>
          <w:lang w:val="en-US" w:eastAsia="zh-CN"/>
        </w:rPr>
        <w:t>减少1.69</w:t>
      </w:r>
      <w:r>
        <w:rPr>
          <w:rFonts w:hint="eastAsia" w:ascii="TimesNewRoman" w:hAnsi="TimesNewRoman" w:eastAsia="仿宋_GB2312" w:cs="TimesNewRoman"/>
          <w:kern w:val="0"/>
          <w:sz w:val="32"/>
          <w:szCs w:val="32"/>
        </w:rPr>
        <w:t>万元，</w:t>
      </w:r>
      <w:r>
        <w:rPr>
          <w:rFonts w:hint="eastAsia" w:ascii="TimesNewRoman" w:hAnsi="TimesNewRoman" w:eastAsia="仿宋_GB2312" w:cs="TimesNewRoman"/>
          <w:kern w:val="0"/>
          <w:sz w:val="32"/>
          <w:szCs w:val="32"/>
          <w:lang w:val="en-US" w:eastAsia="zh-CN"/>
        </w:rPr>
        <w:t>下降8.66</w:t>
      </w:r>
      <w:r>
        <w:rPr>
          <w:rFonts w:hint="eastAsia" w:ascii="TimesNewRoman" w:hAnsi="TimesNewRoman" w:eastAsia="仿宋_GB2312" w:cs="TimesNewRoman"/>
          <w:kern w:val="0"/>
          <w:sz w:val="32"/>
          <w:szCs w:val="32"/>
        </w:rPr>
        <w:t>%，原因主要是</w:t>
      </w:r>
      <w:r>
        <w:rPr>
          <w:rFonts w:hint="eastAsia" w:ascii="TimesNewRoman" w:hAnsi="TimesNewRoman" w:eastAsia="仿宋_GB2312" w:cs="TimesNewRoman"/>
          <w:kern w:val="0"/>
          <w:sz w:val="32"/>
          <w:szCs w:val="32"/>
          <w:lang w:val="en-US" w:eastAsia="zh-CN"/>
        </w:rPr>
        <w:t>人员变动，基数调整。</w:t>
      </w:r>
    </w:p>
    <w:p w14:paraId="7DAAB50C">
      <w:pPr>
        <w:ind w:firstLine="640" w:firstLineChars="200"/>
        <w:rPr>
          <w:rFonts w:hint="eastAsia" w:ascii="TimesNewRoman" w:hAnsi="TimesNewRoman" w:eastAsia="仿宋_GB2312" w:cs="TimesNewRoman"/>
          <w:kern w:val="0"/>
          <w:sz w:val="32"/>
          <w:szCs w:val="32"/>
          <w:lang w:val="en-US" w:eastAsia="zh-CN"/>
        </w:rPr>
      </w:pPr>
      <w:r>
        <w:rPr>
          <w:rFonts w:hint="eastAsia" w:ascii="TimesNewRoman" w:hAnsi="TimesNewRoman" w:eastAsia="仿宋_GB2312" w:cs="TimesNewRoman"/>
          <w:kern w:val="0"/>
          <w:sz w:val="32"/>
          <w:szCs w:val="32"/>
          <w:lang w:val="en-US" w:eastAsia="zh-CN"/>
        </w:rPr>
        <w:t>12、</w:t>
      </w:r>
      <w:r>
        <w:rPr>
          <w:rFonts w:hint="eastAsia" w:ascii="TimesNewRoman" w:hAnsi="TimesNewRoman" w:eastAsia="仿宋_GB2312" w:cs="TimesNewRoman"/>
          <w:kern w:val="0"/>
          <w:sz w:val="32"/>
          <w:szCs w:val="32"/>
        </w:rPr>
        <w:t>住房保障支出</w:t>
      </w:r>
      <w:r>
        <w:rPr>
          <w:rFonts w:hint="eastAsia" w:ascii="TimesNewRoman" w:hAnsi="TimesNewRoman" w:eastAsia="仿宋_GB2312" w:cs="TimesNewRoman"/>
          <w:kern w:val="0"/>
          <w:sz w:val="32"/>
          <w:szCs w:val="32"/>
          <w:lang w:eastAsia="zh-CN"/>
        </w:rPr>
        <w:t>（</w:t>
      </w:r>
      <w:r>
        <w:rPr>
          <w:rFonts w:hint="eastAsia" w:ascii="TimesNewRoman" w:hAnsi="TimesNewRoman" w:eastAsia="仿宋_GB2312" w:cs="TimesNewRoman"/>
          <w:kern w:val="0"/>
          <w:sz w:val="32"/>
          <w:szCs w:val="32"/>
        </w:rPr>
        <w:t>类</w:t>
      </w:r>
      <w:r>
        <w:rPr>
          <w:rFonts w:hint="eastAsia" w:ascii="TimesNewRoman" w:hAnsi="TimesNewRoman" w:eastAsia="仿宋_GB2312" w:cs="TimesNewRoman"/>
          <w:kern w:val="0"/>
          <w:sz w:val="32"/>
          <w:szCs w:val="32"/>
          <w:lang w:eastAsia="zh-CN"/>
        </w:rPr>
        <w:t>）</w:t>
      </w:r>
      <w:r>
        <w:rPr>
          <w:rFonts w:hint="eastAsia" w:ascii="TimesNewRoman" w:hAnsi="TimesNewRoman" w:eastAsia="仿宋_GB2312" w:cs="TimesNewRoman"/>
          <w:kern w:val="0"/>
          <w:sz w:val="32"/>
          <w:szCs w:val="32"/>
        </w:rPr>
        <w:t>住房改革支出（款）</w:t>
      </w:r>
      <w:r>
        <w:rPr>
          <w:rFonts w:hint="eastAsia" w:ascii="TimesNewRoman" w:hAnsi="TimesNewRoman" w:eastAsia="仿宋_GB2312" w:cs="TimesNewRoman"/>
          <w:kern w:val="0"/>
          <w:sz w:val="32"/>
          <w:szCs w:val="32"/>
          <w:lang w:val="en-US" w:eastAsia="zh-CN"/>
        </w:rPr>
        <w:t>提租补贴</w:t>
      </w:r>
      <w:r>
        <w:rPr>
          <w:rFonts w:hint="eastAsia" w:ascii="TimesNewRoman" w:hAnsi="TimesNewRoman" w:eastAsia="仿宋_GB2312" w:cs="TimesNewRoman"/>
          <w:kern w:val="0"/>
          <w:sz w:val="32"/>
          <w:szCs w:val="32"/>
        </w:rPr>
        <w:t>（项）</w:t>
      </w:r>
      <w:r>
        <w:rPr>
          <w:rFonts w:hint="default" w:ascii="TimesNewRoman" w:hAnsi="TimesNewRoman" w:eastAsia="仿宋_GB2312" w:cs="TimesNewRoman"/>
          <w:kern w:val="0"/>
          <w:sz w:val="32"/>
          <w:szCs w:val="32"/>
        </w:rPr>
        <w:t>202</w:t>
      </w:r>
      <w:r>
        <w:rPr>
          <w:rFonts w:hint="eastAsia" w:ascii="TimesNewRoman" w:hAnsi="TimesNewRoman" w:eastAsia="仿宋_GB2312" w:cs="TimesNewRoman"/>
          <w:kern w:val="0"/>
          <w:sz w:val="32"/>
          <w:szCs w:val="32"/>
          <w:lang w:val="en-US" w:eastAsia="zh-CN"/>
        </w:rPr>
        <w:t>5</w:t>
      </w:r>
      <w:r>
        <w:rPr>
          <w:rFonts w:hint="eastAsia" w:ascii="TimesNewRoman" w:hAnsi="TimesNewRoman" w:eastAsia="仿宋_GB2312" w:cs="TimesNewRoman"/>
          <w:kern w:val="0"/>
          <w:sz w:val="32"/>
          <w:szCs w:val="32"/>
        </w:rPr>
        <w:t>年预算</w:t>
      </w:r>
      <w:r>
        <w:rPr>
          <w:rFonts w:hint="eastAsia" w:ascii="TimesNewRoman" w:hAnsi="TimesNewRoman" w:eastAsia="仿宋_GB2312" w:cs="TimesNewRoman"/>
          <w:kern w:val="0"/>
          <w:sz w:val="32"/>
          <w:szCs w:val="32"/>
          <w:lang w:val="en-US" w:eastAsia="zh-CN"/>
        </w:rPr>
        <w:t>8.68</w:t>
      </w:r>
      <w:r>
        <w:rPr>
          <w:rFonts w:hint="eastAsia" w:ascii="TimesNewRoman" w:hAnsi="TimesNewRoman" w:eastAsia="仿宋_GB2312" w:cs="TimesNewRoman"/>
          <w:kern w:val="0"/>
          <w:sz w:val="32"/>
          <w:szCs w:val="32"/>
        </w:rPr>
        <w:t>万元，比</w:t>
      </w:r>
      <w:r>
        <w:rPr>
          <w:rFonts w:hint="default" w:ascii="TimesNewRoman" w:hAnsi="TimesNewRoman" w:eastAsia="仿宋_GB2312" w:cs="TimesNewRoman"/>
          <w:kern w:val="0"/>
          <w:sz w:val="32"/>
          <w:szCs w:val="32"/>
        </w:rPr>
        <w:t>202</w:t>
      </w:r>
      <w:r>
        <w:rPr>
          <w:rFonts w:hint="eastAsia" w:ascii="TimesNewRoman" w:hAnsi="TimesNewRoman" w:eastAsia="仿宋_GB2312" w:cs="TimesNewRoman"/>
          <w:kern w:val="0"/>
          <w:sz w:val="32"/>
          <w:szCs w:val="32"/>
          <w:lang w:val="en-US" w:eastAsia="zh-CN"/>
        </w:rPr>
        <w:t>4</w:t>
      </w:r>
      <w:r>
        <w:rPr>
          <w:rFonts w:hint="eastAsia" w:ascii="TimesNewRoman" w:hAnsi="TimesNewRoman" w:eastAsia="仿宋_GB2312" w:cs="TimesNewRoman"/>
          <w:kern w:val="0"/>
          <w:sz w:val="32"/>
          <w:szCs w:val="32"/>
        </w:rPr>
        <w:t>年预算</w:t>
      </w:r>
      <w:r>
        <w:rPr>
          <w:rFonts w:hint="eastAsia" w:ascii="TimesNewRoman" w:hAnsi="TimesNewRoman" w:eastAsia="仿宋_GB2312" w:cs="TimesNewRoman"/>
          <w:kern w:val="0"/>
          <w:sz w:val="32"/>
          <w:szCs w:val="32"/>
          <w:lang w:val="en-US" w:eastAsia="zh-CN"/>
        </w:rPr>
        <w:t>减少0.16</w:t>
      </w:r>
      <w:r>
        <w:rPr>
          <w:rFonts w:hint="eastAsia" w:ascii="TimesNewRoman" w:hAnsi="TimesNewRoman" w:eastAsia="仿宋_GB2312" w:cs="TimesNewRoman"/>
          <w:kern w:val="0"/>
          <w:sz w:val="32"/>
          <w:szCs w:val="32"/>
        </w:rPr>
        <w:t>万元，</w:t>
      </w:r>
      <w:r>
        <w:rPr>
          <w:rFonts w:hint="eastAsia" w:ascii="TimesNewRoman" w:hAnsi="TimesNewRoman" w:eastAsia="仿宋_GB2312" w:cs="TimesNewRoman"/>
          <w:kern w:val="0"/>
          <w:sz w:val="32"/>
          <w:szCs w:val="32"/>
          <w:lang w:val="en-US" w:eastAsia="zh-CN"/>
        </w:rPr>
        <w:t>下降1.76</w:t>
      </w:r>
      <w:r>
        <w:rPr>
          <w:rFonts w:hint="eastAsia" w:ascii="TimesNewRoman" w:hAnsi="TimesNewRoman" w:eastAsia="仿宋_GB2312" w:cs="TimesNewRoman"/>
          <w:kern w:val="0"/>
          <w:sz w:val="32"/>
          <w:szCs w:val="32"/>
        </w:rPr>
        <w:t>%，原因</w:t>
      </w:r>
      <w:r>
        <w:rPr>
          <w:rFonts w:hint="eastAsia" w:ascii="TimesNewRoman" w:hAnsi="TimesNewRoman" w:eastAsia="仿宋_GB2312" w:cs="TimesNewRoman"/>
          <w:kern w:val="0"/>
          <w:sz w:val="32"/>
          <w:szCs w:val="32"/>
          <w:lang w:eastAsia="zh-CN"/>
        </w:rPr>
        <w:t>主要是</w:t>
      </w:r>
      <w:r>
        <w:rPr>
          <w:rFonts w:hint="eastAsia" w:ascii="TimesNewRoman" w:hAnsi="TimesNewRoman" w:eastAsia="仿宋_GB2312" w:cs="TimesNewRoman"/>
          <w:kern w:val="0"/>
          <w:sz w:val="32"/>
          <w:szCs w:val="32"/>
          <w:lang w:val="en-US" w:eastAsia="zh-CN"/>
        </w:rPr>
        <w:t>人员变动，基数调整。</w:t>
      </w:r>
    </w:p>
    <w:p w14:paraId="0D724B95">
      <w:pPr>
        <w:ind w:firstLine="640" w:firstLineChars="200"/>
        <w:rPr>
          <w:rFonts w:hint="eastAsia" w:ascii="TimesNewRoman" w:hAnsi="TimesNewRoman" w:eastAsia="仿宋_GB2312" w:cs="TimesNewRoman"/>
          <w:kern w:val="0"/>
          <w:sz w:val="32"/>
          <w:szCs w:val="32"/>
          <w:lang w:eastAsia="zh-CN"/>
        </w:rPr>
      </w:pPr>
      <w:r>
        <w:rPr>
          <w:rFonts w:hint="default" w:ascii="TimesNewRoman" w:hAnsi="TimesNewRoman" w:eastAsia="仿宋_GB2312" w:cs="TimesNewRoman"/>
          <w:kern w:val="0"/>
          <w:sz w:val="32"/>
          <w:szCs w:val="32"/>
          <w:lang w:val="en-US" w:eastAsia="zh-CN"/>
        </w:rPr>
        <w:t>1</w:t>
      </w:r>
      <w:r>
        <w:rPr>
          <w:rFonts w:hint="eastAsia" w:ascii="TimesNewRoman" w:hAnsi="TimesNewRoman" w:eastAsia="仿宋_GB2312" w:cs="TimesNewRoman"/>
          <w:kern w:val="0"/>
          <w:sz w:val="32"/>
          <w:szCs w:val="32"/>
          <w:lang w:val="en-US" w:eastAsia="zh-CN"/>
        </w:rPr>
        <w:t>3.</w:t>
      </w:r>
      <w:r>
        <w:rPr>
          <w:rFonts w:hint="eastAsia" w:ascii="TimesNewRoman" w:hAnsi="TimesNewRoman" w:eastAsia="仿宋_GB2312" w:cs="TimesNewRoman"/>
          <w:kern w:val="0"/>
          <w:sz w:val="32"/>
          <w:szCs w:val="32"/>
          <w:lang w:eastAsia="zh-CN"/>
        </w:rPr>
        <w:t>住房保障支出（类）住房改革支出（款）购房补贴（项）</w:t>
      </w:r>
      <w:r>
        <w:rPr>
          <w:rFonts w:hint="default" w:ascii="TimesNewRoman" w:hAnsi="TimesNewRoman" w:eastAsia="仿宋_GB2312" w:cs="TimesNewRoman"/>
          <w:kern w:val="0"/>
          <w:sz w:val="32"/>
          <w:szCs w:val="32"/>
          <w:lang w:eastAsia="zh-CN"/>
        </w:rPr>
        <w:t>202</w:t>
      </w:r>
      <w:r>
        <w:rPr>
          <w:rFonts w:hint="eastAsia" w:ascii="TimesNewRoman" w:hAnsi="TimesNewRoman" w:eastAsia="仿宋_GB2312" w:cs="TimesNewRoman"/>
          <w:kern w:val="0"/>
          <w:sz w:val="32"/>
          <w:szCs w:val="32"/>
          <w:lang w:val="en-US" w:eastAsia="zh-CN"/>
        </w:rPr>
        <w:t>5</w:t>
      </w:r>
      <w:r>
        <w:rPr>
          <w:rFonts w:hint="eastAsia" w:ascii="TimesNewRoman" w:hAnsi="TimesNewRoman" w:eastAsia="仿宋_GB2312" w:cs="TimesNewRoman"/>
          <w:kern w:val="0"/>
          <w:sz w:val="32"/>
          <w:szCs w:val="32"/>
          <w:lang w:eastAsia="zh-CN"/>
        </w:rPr>
        <w:t>年预算</w:t>
      </w:r>
      <w:r>
        <w:rPr>
          <w:rFonts w:hint="eastAsia" w:ascii="TimesNewRoman" w:hAnsi="TimesNewRoman" w:eastAsia="仿宋_GB2312" w:cs="TimesNewRoman"/>
          <w:kern w:val="0"/>
          <w:sz w:val="32"/>
          <w:szCs w:val="32"/>
          <w:lang w:val="en-US" w:eastAsia="zh-CN"/>
        </w:rPr>
        <w:t>7.44</w:t>
      </w:r>
      <w:r>
        <w:rPr>
          <w:rFonts w:hint="eastAsia" w:ascii="TimesNewRoman" w:hAnsi="TimesNewRoman" w:eastAsia="仿宋_GB2312" w:cs="TimesNewRoman"/>
          <w:kern w:val="0"/>
          <w:sz w:val="32"/>
          <w:szCs w:val="32"/>
          <w:lang w:eastAsia="zh-CN"/>
        </w:rPr>
        <w:t>万元，比</w:t>
      </w:r>
      <w:r>
        <w:rPr>
          <w:rFonts w:hint="default" w:ascii="TimesNewRoman" w:hAnsi="TimesNewRoman" w:eastAsia="仿宋_GB2312" w:cs="TimesNewRoman"/>
          <w:kern w:val="0"/>
          <w:sz w:val="32"/>
          <w:szCs w:val="32"/>
          <w:lang w:eastAsia="zh-CN"/>
        </w:rPr>
        <w:t>202</w:t>
      </w:r>
      <w:r>
        <w:rPr>
          <w:rFonts w:hint="eastAsia" w:ascii="TimesNewRoman" w:hAnsi="TimesNewRoman" w:eastAsia="仿宋_GB2312" w:cs="TimesNewRoman"/>
          <w:kern w:val="0"/>
          <w:sz w:val="32"/>
          <w:szCs w:val="32"/>
          <w:lang w:val="en-US" w:eastAsia="zh-CN"/>
        </w:rPr>
        <w:t>4</w:t>
      </w:r>
      <w:r>
        <w:rPr>
          <w:rFonts w:hint="eastAsia" w:ascii="TimesNewRoman" w:hAnsi="TimesNewRoman" w:eastAsia="仿宋_GB2312" w:cs="TimesNewRoman"/>
          <w:kern w:val="0"/>
          <w:sz w:val="32"/>
          <w:szCs w:val="32"/>
          <w:lang w:eastAsia="zh-CN"/>
        </w:rPr>
        <w:t>年预算</w:t>
      </w:r>
      <w:r>
        <w:rPr>
          <w:rFonts w:hint="eastAsia" w:ascii="TimesNewRoman" w:hAnsi="TimesNewRoman" w:eastAsia="仿宋_GB2312" w:cs="TimesNewRoman"/>
          <w:kern w:val="0"/>
          <w:sz w:val="32"/>
          <w:szCs w:val="32"/>
          <w:lang w:val="en-US" w:eastAsia="zh-CN"/>
        </w:rPr>
        <w:t>减少0.26</w:t>
      </w:r>
      <w:r>
        <w:rPr>
          <w:rFonts w:hint="eastAsia" w:ascii="TimesNewRoman" w:hAnsi="TimesNewRoman" w:eastAsia="仿宋_GB2312" w:cs="TimesNewRoman"/>
          <w:kern w:val="0"/>
          <w:sz w:val="32"/>
          <w:szCs w:val="32"/>
          <w:lang w:eastAsia="zh-CN"/>
        </w:rPr>
        <w:t>万元，</w:t>
      </w:r>
      <w:r>
        <w:rPr>
          <w:rFonts w:hint="eastAsia" w:ascii="TimesNewRoman" w:hAnsi="TimesNewRoman" w:eastAsia="仿宋_GB2312" w:cs="TimesNewRoman"/>
          <w:kern w:val="0"/>
          <w:sz w:val="32"/>
          <w:szCs w:val="32"/>
          <w:lang w:val="en-US" w:eastAsia="zh-CN"/>
        </w:rPr>
        <w:t>下降3.36</w:t>
      </w:r>
      <w:r>
        <w:rPr>
          <w:rFonts w:hint="eastAsia" w:ascii="TimesNewRoman" w:hAnsi="TimesNewRoman" w:eastAsia="仿宋_GB2312" w:cs="TimesNewRoman"/>
          <w:kern w:val="0"/>
          <w:sz w:val="32"/>
          <w:szCs w:val="32"/>
          <w:lang w:eastAsia="zh-CN"/>
        </w:rPr>
        <w:t>%，原因主要是</w:t>
      </w:r>
      <w:r>
        <w:rPr>
          <w:rFonts w:hint="eastAsia" w:ascii="TimesNewRoman" w:hAnsi="TimesNewRoman" w:eastAsia="仿宋_GB2312" w:cs="TimesNewRoman"/>
          <w:kern w:val="0"/>
          <w:sz w:val="32"/>
          <w:szCs w:val="32"/>
          <w:lang w:val="en-US" w:eastAsia="zh-CN"/>
        </w:rPr>
        <w:t>人员变动，基数调整。</w:t>
      </w:r>
    </w:p>
    <w:p w14:paraId="0C20626A">
      <w:pPr>
        <w:pStyle w:val="5"/>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六、关于2025年一般公共预算基本支出表的说明</w:t>
      </w:r>
    </w:p>
    <w:p w14:paraId="13C7302A">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lang w:eastAsia="zh-CN"/>
        </w:rPr>
        <w:t>淮北市科学技术协会（本级）</w:t>
      </w:r>
      <w:r>
        <w:rPr>
          <w:rFonts w:hint="eastAsia" w:ascii="TimesNewRoman" w:hAnsi="TimesNewRoman" w:eastAsia="仿宋_GB2312" w:cs="TimesNewRoman"/>
          <w:kern w:val="0"/>
          <w:sz w:val="32"/>
          <w:szCs w:val="32"/>
        </w:rPr>
        <w:t>2025年一般公共预算基本支出</w:t>
      </w:r>
      <w:r>
        <w:rPr>
          <w:rFonts w:hint="eastAsia" w:ascii="TimesNewRoman" w:hAnsi="TimesNewRoman" w:eastAsia="仿宋_GB2312" w:cs="TimesNewRoman"/>
          <w:kern w:val="0"/>
          <w:sz w:val="32"/>
          <w:szCs w:val="32"/>
          <w:lang w:val="en-US" w:eastAsia="zh-CN"/>
        </w:rPr>
        <w:t>273.66</w:t>
      </w:r>
      <w:r>
        <w:rPr>
          <w:rFonts w:hint="eastAsia" w:ascii="TimesNewRoman" w:hAnsi="TimesNewRoman" w:eastAsia="仿宋_GB2312" w:cs="TimesNewRoman"/>
          <w:kern w:val="0"/>
          <w:sz w:val="32"/>
          <w:szCs w:val="32"/>
        </w:rPr>
        <w:t>万元，其中，人员经费</w:t>
      </w:r>
      <w:r>
        <w:rPr>
          <w:rFonts w:hint="eastAsia" w:ascii="TimesNewRoman" w:hAnsi="TimesNewRoman" w:eastAsia="仿宋_GB2312" w:cs="TimesNewRoman"/>
          <w:kern w:val="0"/>
          <w:sz w:val="32"/>
          <w:szCs w:val="32"/>
          <w:lang w:val="en-US" w:eastAsia="zh-CN"/>
        </w:rPr>
        <w:t>249.75</w:t>
      </w:r>
      <w:r>
        <w:rPr>
          <w:rFonts w:hint="eastAsia" w:ascii="TimesNewRoman" w:hAnsi="TimesNewRoman" w:eastAsia="仿宋_GB2312" w:cs="TimesNewRoman"/>
          <w:kern w:val="0"/>
          <w:sz w:val="32"/>
          <w:szCs w:val="32"/>
        </w:rPr>
        <w:t>万元，公用经费</w:t>
      </w:r>
      <w:r>
        <w:rPr>
          <w:rFonts w:hint="eastAsia" w:ascii="TimesNewRoman" w:hAnsi="TimesNewRoman" w:eastAsia="仿宋_GB2312" w:cs="TimesNewRoman"/>
          <w:kern w:val="0"/>
          <w:sz w:val="32"/>
          <w:szCs w:val="32"/>
          <w:lang w:val="en-US" w:eastAsia="zh-CN"/>
        </w:rPr>
        <w:t>23.92</w:t>
      </w:r>
      <w:r>
        <w:rPr>
          <w:rFonts w:hint="eastAsia" w:ascii="TimesNewRoman" w:hAnsi="TimesNewRoman" w:eastAsia="仿宋_GB2312" w:cs="TimesNewRoman"/>
          <w:kern w:val="0"/>
          <w:sz w:val="32"/>
          <w:szCs w:val="32"/>
        </w:rPr>
        <w:t>万元。</w:t>
      </w:r>
    </w:p>
    <w:p w14:paraId="2FA474B3">
      <w:pPr>
        <w:ind w:firstLine="643" w:firstLineChars="200"/>
        <w:rPr>
          <w:rFonts w:ascii="仿宋_GB2312" w:hAnsi="仿宋" w:eastAsia="仿宋_GB2312"/>
          <w:color w:val="auto"/>
          <w:sz w:val="32"/>
          <w:szCs w:val="32"/>
        </w:rPr>
      </w:pPr>
      <w:r>
        <w:rPr>
          <w:rFonts w:hint="eastAsia" w:ascii="TimesNewRoman" w:hAnsi="TimesNewRoman" w:eastAsia="仿宋_GB2312" w:cs="TimesNewRoman"/>
          <w:b/>
          <w:kern w:val="0"/>
          <w:sz w:val="32"/>
          <w:szCs w:val="32"/>
        </w:rPr>
        <w:t>（一）人员经费</w:t>
      </w:r>
      <w:r>
        <w:rPr>
          <w:rFonts w:hint="eastAsia" w:ascii="TimesNewRoman" w:hAnsi="TimesNewRoman" w:eastAsia="仿宋_GB2312" w:cs="TimesNewRoman"/>
          <w:kern w:val="0"/>
          <w:sz w:val="32"/>
          <w:szCs w:val="32"/>
          <w:lang w:val="en-US" w:eastAsia="zh-CN"/>
        </w:rPr>
        <w:t>249.75</w:t>
      </w:r>
      <w:r>
        <w:rPr>
          <w:rFonts w:hint="eastAsia" w:ascii="TimesNewRoman" w:hAnsi="TimesNewRoman" w:eastAsia="仿宋_GB2312" w:cs="TimesNewRoman"/>
          <w:b/>
          <w:kern w:val="0"/>
          <w:sz w:val="32"/>
          <w:szCs w:val="32"/>
        </w:rPr>
        <w:t>万元，</w:t>
      </w:r>
      <w:r>
        <w:rPr>
          <w:rFonts w:hint="eastAsia" w:ascii="TimesNewRoman" w:hAnsi="TimesNewRoman" w:eastAsia="仿宋_GB2312" w:cs="TimesNewRoman"/>
          <w:kern w:val="0"/>
          <w:sz w:val="32"/>
          <w:szCs w:val="32"/>
        </w:rPr>
        <w:t>主要包括:</w:t>
      </w:r>
      <w:r>
        <w:rPr>
          <w:rFonts w:hint="eastAsia" w:ascii="仿宋_GB2312" w:hAnsi="仿宋" w:eastAsia="仿宋_GB2312"/>
          <w:color w:val="auto"/>
          <w:sz w:val="32"/>
          <w:szCs w:val="32"/>
        </w:rPr>
        <w:t>基本工资、津贴补贴、奖金、机关事业单位基本养老保险费、职业年金缴费、职工基本医疗保险缴费、公务员医疗补助缴费、其他社会保障缴费、住房公积金、其他工资福利支出</w:t>
      </w:r>
      <w:r>
        <w:rPr>
          <w:rFonts w:hint="eastAsia" w:ascii="仿宋_GB2312" w:hAnsi="仿宋" w:eastAsia="仿宋_GB2312"/>
          <w:color w:val="auto"/>
          <w:sz w:val="32"/>
          <w:szCs w:val="32"/>
          <w:lang w:eastAsia="zh-CN"/>
        </w:rPr>
        <w:t>、</w:t>
      </w:r>
      <w:r>
        <w:rPr>
          <w:rFonts w:hint="eastAsia" w:ascii="仿宋_GB2312" w:hAnsi="仿宋" w:eastAsia="仿宋_GB2312"/>
          <w:color w:val="auto"/>
          <w:sz w:val="32"/>
          <w:szCs w:val="32"/>
          <w:lang w:val="en-US" w:eastAsia="zh-CN"/>
        </w:rPr>
        <w:t>办公费、工会经费、福利费、</w:t>
      </w:r>
      <w:r>
        <w:rPr>
          <w:rFonts w:hint="eastAsia" w:ascii="仿宋_GB2312" w:hAnsi="仿宋" w:eastAsia="仿宋_GB2312"/>
          <w:color w:val="auto"/>
          <w:sz w:val="32"/>
          <w:szCs w:val="32"/>
        </w:rPr>
        <w:t>其他</w:t>
      </w:r>
      <w:r>
        <w:rPr>
          <w:rFonts w:hint="eastAsia" w:ascii="仿宋_GB2312" w:hAnsi="仿宋" w:eastAsia="仿宋_GB2312"/>
          <w:color w:val="auto"/>
          <w:sz w:val="32"/>
          <w:szCs w:val="32"/>
          <w:lang w:val="en-US" w:eastAsia="zh-CN"/>
        </w:rPr>
        <w:t>商品和服务支出、退休费、医疗费补助、其他对个人和家庭的补助</w:t>
      </w:r>
      <w:r>
        <w:rPr>
          <w:rFonts w:hint="eastAsia" w:ascii="仿宋_GB2312" w:hAnsi="仿宋" w:eastAsia="仿宋_GB2312"/>
          <w:color w:val="auto"/>
          <w:sz w:val="32"/>
          <w:szCs w:val="32"/>
        </w:rPr>
        <w:t>。</w:t>
      </w:r>
    </w:p>
    <w:p w14:paraId="1A29A48F">
      <w:pPr>
        <w:ind w:firstLine="643" w:firstLineChars="200"/>
        <w:rPr>
          <w:rFonts w:ascii="仿宋_GB2312" w:hAnsi="仿宋" w:eastAsia="仿宋_GB2312"/>
          <w:color w:val="auto"/>
          <w:sz w:val="32"/>
          <w:szCs w:val="32"/>
        </w:rPr>
      </w:pPr>
      <w:r>
        <w:rPr>
          <w:rFonts w:hint="eastAsia" w:ascii="TimesNewRoman" w:hAnsi="TimesNewRoman" w:eastAsia="仿宋_GB2312" w:cs="TimesNewRoman"/>
          <w:b/>
          <w:kern w:val="0"/>
          <w:sz w:val="32"/>
          <w:szCs w:val="32"/>
        </w:rPr>
        <w:t>（二）公用经费</w:t>
      </w:r>
      <w:r>
        <w:rPr>
          <w:rFonts w:hint="eastAsia" w:ascii="TimesNewRoman" w:hAnsi="TimesNewRoman" w:eastAsia="仿宋_GB2312" w:cs="TimesNewRoman"/>
          <w:kern w:val="0"/>
          <w:sz w:val="32"/>
          <w:szCs w:val="32"/>
          <w:lang w:val="en-US" w:eastAsia="zh-CN"/>
        </w:rPr>
        <w:t>23.92</w:t>
      </w:r>
      <w:r>
        <w:rPr>
          <w:rFonts w:hint="eastAsia" w:ascii="TimesNewRoman" w:hAnsi="TimesNewRoman" w:eastAsia="仿宋_GB2312" w:cs="TimesNewRoman"/>
          <w:b/>
          <w:kern w:val="0"/>
          <w:sz w:val="32"/>
          <w:szCs w:val="32"/>
        </w:rPr>
        <w:t>万元，</w:t>
      </w:r>
      <w:r>
        <w:rPr>
          <w:rFonts w:hint="eastAsia" w:ascii="TimesNewRoman" w:hAnsi="TimesNewRoman" w:eastAsia="仿宋_GB2312" w:cs="TimesNewRoman"/>
          <w:kern w:val="0"/>
          <w:sz w:val="32"/>
          <w:szCs w:val="32"/>
        </w:rPr>
        <w:t>主要包括：</w:t>
      </w:r>
      <w:r>
        <w:rPr>
          <w:rFonts w:hint="eastAsia" w:ascii="仿宋_GB2312" w:hAnsi="仿宋" w:eastAsia="仿宋_GB2312"/>
          <w:color w:val="auto"/>
          <w:sz w:val="32"/>
          <w:szCs w:val="32"/>
        </w:rPr>
        <w:t>其他交通费用</w:t>
      </w:r>
      <w:r>
        <w:rPr>
          <w:rFonts w:hint="eastAsia" w:ascii="仿宋_GB2312" w:hAnsi="仿宋" w:eastAsia="仿宋_GB2312"/>
          <w:color w:val="auto"/>
          <w:sz w:val="32"/>
          <w:szCs w:val="32"/>
          <w:lang w:val="en-US" w:eastAsia="zh-CN"/>
        </w:rPr>
        <w:t>、</w:t>
      </w:r>
      <w:r>
        <w:rPr>
          <w:rFonts w:hint="eastAsia" w:ascii="仿宋_GB2312" w:hAnsi="仿宋" w:eastAsia="仿宋_GB2312"/>
          <w:color w:val="auto"/>
          <w:sz w:val="32"/>
          <w:szCs w:val="32"/>
        </w:rPr>
        <w:t>其他</w:t>
      </w:r>
      <w:r>
        <w:rPr>
          <w:rFonts w:hint="eastAsia" w:ascii="仿宋_GB2312" w:hAnsi="仿宋" w:eastAsia="仿宋_GB2312"/>
          <w:color w:val="auto"/>
          <w:sz w:val="32"/>
          <w:szCs w:val="32"/>
          <w:lang w:val="en-US" w:eastAsia="zh-CN"/>
        </w:rPr>
        <w:t>商品和服务支出。</w:t>
      </w:r>
    </w:p>
    <w:p w14:paraId="62E2027F">
      <w:pPr>
        <w:pStyle w:val="5"/>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七、关于2025年政府性基金预算支出表的说明</w:t>
      </w:r>
    </w:p>
    <w:p w14:paraId="5C79FB46">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lang w:eastAsia="zh-CN"/>
        </w:rPr>
        <w:t>淮北市科学技术协会（本级）</w:t>
      </w:r>
      <w:r>
        <w:rPr>
          <w:rFonts w:hint="eastAsia" w:ascii="TimesNewRoman" w:hAnsi="TimesNewRoman" w:eastAsia="仿宋_GB2312" w:cs="TimesNewRoman"/>
          <w:kern w:val="0"/>
          <w:sz w:val="32"/>
          <w:szCs w:val="32"/>
        </w:rPr>
        <w:t>2025年没有政府性基金预算拨款收入，也没有使用政府性基金预算拨款安排的支出。</w:t>
      </w:r>
    </w:p>
    <w:p w14:paraId="55D69409">
      <w:pPr>
        <w:pStyle w:val="5"/>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八、关于2025年国有资本经营预算支出表的说明</w:t>
      </w:r>
    </w:p>
    <w:p w14:paraId="2C947FF6">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lang w:eastAsia="zh-CN"/>
        </w:rPr>
        <w:t>淮北市科学技术协会（本级）</w:t>
      </w:r>
      <w:r>
        <w:rPr>
          <w:rFonts w:hint="eastAsia" w:ascii="TimesNewRoman" w:hAnsi="TimesNewRoman" w:eastAsia="仿宋_GB2312" w:cs="TimesNewRoman"/>
          <w:kern w:val="0"/>
          <w:sz w:val="32"/>
          <w:szCs w:val="32"/>
        </w:rPr>
        <w:t>2025年没有国有资本经营预算拨款收入，也没有使用国有资本经营预算拨款安排的支出。</w:t>
      </w:r>
    </w:p>
    <w:p w14:paraId="041EACFE">
      <w:pPr>
        <w:pStyle w:val="5"/>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九、关于2025年项目支出表的说明</w:t>
      </w:r>
    </w:p>
    <w:p w14:paraId="75013F7D">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lang w:eastAsia="zh-CN"/>
        </w:rPr>
        <w:t>淮北市科学技术协会（本级）</w:t>
      </w:r>
      <w:r>
        <w:rPr>
          <w:rFonts w:hint="eastAsia" w:ascii="TimesNewRoman" w:hAnsi="TimesNewRoman" w:eastAsia="仿宋_GB2312" w:cs="TimesNewRoman"/>
          <w:kern w:val="0"/>
          <w:sz w:val="32"/>
          <w:szCs w:val="32"/>
        </w:rPr>
        <w:t>2025年预算共安排项目支出</w:t>
      </w:r>
      <w:r>
        <w:rPr>
          <w:rFonts w:hint="eastAsia" w:ascii="TimesNewRoman" w:hAnsi="TimesNewRoman" w:eastAsia="仿宋_GB2312" w:cs="TimesNewRoman"/>
          <w:kern w:val="0"/>
          <w:sz w:val="32"/>
          <w:szCs w:val="32"/>
          <w:lang w:val="en-US" w:eastAsia="zh-CN"/>
        </w:rPr>
        <w:t>23.20</w:t>
      </w:r>
      <w:r>
        <w:rPr>
          <w:rFonts w:hint="eastAsia" w:ascii="TimesNewRoman" w:hAnsi="TimesNewRoman" w:eastAsia="仿宋_GB2312" w:cs="TimesNewRoman"/>
          <w:kern w:val="0"/>
          <w:sz w:val="32"/>
          <w:szCs w:val="32"/>
        </w:rPr>
        <w:t>万元，比2024年预算减少</w:t>
      </w:r>
      <w:r>
        <w:rPr>
          <w:rFonts w:hint="eastAsia" w:ascii="TimesNewRoman" w:hAnsi="TimesNewRoman" w:eastAsia="仿宋_GB2312" w:cs="TimesNewRoman"/>
          <w:kern w:val="0"/>
          <w:sz w:val="32"/>
          <w:szCs w:val="32"/>
          <w:lang w:val="en-US" w:eastAsia="zh-CN"/>
        </w:rPr>
        <w:t>5.80</w:t>
      </w:r>
      <w:r>
        <w:rPr>
          <w:rFonts w:hint="eastAsia" w:ascii="TimesNewRoman" w:hAnsi="TimesNewRoman" w:eastAsia="仿宋_GB2312" w:cs="TimesNewRoman"/>
          <w:kern w:val="0"/>
          <w:sz w:val="32"/>
          <w:szCs w:val="32"/>
        </w:rPr>
        <w:t>万元，下降</w:t>
      </w:r>
      <w:r>
        <w:rPr>
          <w:rFonts w:hint="eastAsia" w:ascii="TimesNewRoman" w:hAnsi="TimesNewRoman" w:eastAsia="仿宋_GB2312" w:cs="TimesNewRoman"/>
          <w:kern w:val="0"/>
          <w:sz w:val="32"/>
          <w:szCs w:val="32"/>
          <w:lang w:val="en-US" w:eastAsia="zh-CN"/>
        </w:rPr>
        <w:t>20</w:t>
      </w:r>
      <w:r>
        <w:rPr>
          <w:rFonts w:hint="eastAsia" w:ascii="TimesNewRoman" w:hAnsi="TimesNewRoman" w:eastAsia="仿宋_GB2312" w:cs="TimesNewRoman"/>
          <w:kern w:val="0"/>
          <w:sz w:val="32"/>
          <w:szCs w:val="32"/>
        </w:rPr>
        <w:t>%，原因主要是</w:t>
      </w:r>
      <w:r>
        <w:rPr>
          <w:rFonts w:hint="eastAsia" w:ascii="TimesNewRoman" w:hAnsi="TimesNewRoman" w:eastAsia="仿宋_GB2312" w:cs="TimesNewRoman"/>
          <w:kern w:val="0"/>
          <w:sz w:val="32"/>
          <w:szCs w:val="32"/>
          <w:lang w:val="en-US" w:eastAsia="zh-CN"/>
        </w:rPr>
        <w:t>厉行节约，政策性压减</w:t>
      </w:r>
      <w:r>
        <w:rPr>
          <w:rFonts w:hint="eastAsia" w:ascii="TimesNewRoman" w:hAnsi="TimesNewRoman" w:eastAsia="仿宋_GB2312" w:cs="TimesNewRoman"/>
          <w:kern w:val="0"/>
          <w:sz w:val="32"/>
          <w:szCs w:val="32"/>
        </w:rPr>
        <w:t>。主要包括：本年财政拨款安排</w:t>
      </w:r>
      <w:r>
        <w:rPr>
          <w:rFonts w:hint="eastAsia" w:ascii="TimesNewRoman" w:hAnsi="TimesNewRoman" w:eastAsia="仿宋_GB2312" w:cs="TimesNewRoman"/>
          <w:kern w:val="0"/>
          <w:sz w:val="32"/>
          <w:szCs w:val="32"/>
          <w:lang w:val="en-US" w:eastAsia="zh-CN"/>
        </w:rPr>
        <w:t>23.20</w:t>
      </w:r>
      <w:r>
        <w:rPr>
          <w:rFonts w:hint="eastAsia" w:ascii="TimesNewRoman" w:hAnsi="TimesNewRoman" w:eastAsia="仿宋_GB2312" w:cs="TimesNewRoman"/>
          <w:kern w:val="0"/>
          <w:sz w:val="32"/>
          <w:szCs w:val="32"/>
        </w:rPr>
        <w:t>万元（其中，一般公共预算拨款安排</w:t>
      </w:r>
      <w:r>
        <w:rPr>
          <w:rFonts w:hint="eastAsia" w:ascii="TimesNewRoman" w:hAnsi="TimesNewRoman" w:eastAsia="仿宋_GB2312" w:cs="TimesNewRoman"/>
          <w:kern w:val="0"/>
          <w:sz w:val="32"/>
          <w:szCs w:val="32"/>
          <w:lang w:val="en-US" w:eastAsia="zh-CN"/>
        </w:rPr>
        <w:t>23.20</w:t>
      </w:r>
      <w:r>
        <w:rPr>
          <w:rFonts w:hint="eastAsia" w:ascii="TimesNewRoman" w:hAnsi="TimesNewRoman" w:eastAsia="仿宋_GB2312" w:cs="TimesNewRoman"/>
          <w:kern w:val="0"/>
          <w:sz w:val="32"/>
          <w:szCs w:val="32"/>
        </w:rPr>
        <w:t>万元，政府性基金预算拨款安排</w:t>
      </w:r>
      <w:r>
        <w:rPr>
          <w:rFonts w:hint="eastAsia" w:ascii="TimesNewRoman" w:hAnsi="TimesNewRoman" w:eastAsia="仿宋_GB2312" w:cs="TimesNewRoman"/>
          <w:kern w:val="0"/>
          <w:sz w:val="32"/>
          <w:szCs w:val="32"/>
          <w:lang w:val="en-US" w:eastAsia="zh-CN"/>
        </w:rPr>
        <w:t>0.00</w:t>
      </w:r>
      <w:r>
        <w:rPr>
          <w:rFonts w:hint="eastAsia" w:ascii="TimesNewRoman" w:hAnsi="TimesNewRoman" w:eastAsia="仿宋_GB2312" w:cs="TimesNewRoman"/>
          <w:kern w:val="0"/>
          <w:sz w:val="32"/>
          <w:szCs w:val="32"/>
        </w:rPr>
        <w:t>万元），财政专户管理资金安排</w:t>
      </w:r>
      <w:r>
        <w:rPr>
          <w:rFonts w:hint="eastAsia" w:ascii="TimesNewRoman" w:hAnsi="TimesNewRoman" w:eastAsia="仿宋_GB2312" w:cs="TimesNewRoman"/>
          <w:kern w:val="0"/>
          <w:sz w:val="32"/>
          <w:szCs w:val="32"/>
          <w:lang w:val="en-US" w:eastAsia="zh-CN"/>
        </w:rPr>
        <w:t>0.00</w:t>
      </w:r>
      <w:r>
        <w:rPr>
          <w:rFonts w:hint="eastAsia" w:ascii="TimesNewRoman" w:hAnsi="TimesNewRoman" w:eastAsia="仿宋_GB2312" w:cs="TimesNewRoman"/>
          <w:kern w:val="0"/>
          <w:sz w:val="32"/>
          <w:szCs w:val="32"/>
        </w:rPr>
        <w:t>万元。</w:t>
      </w:r>
    </w:p>
    <w:p w14:paraId="0F950BA3">
      <w:pPr>
        <w:pStyle w:val="5"/>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十、关于2025年政府采购支出表的说明</w:t>
      </w:r>
    </w:p>
    <w:p w14:paraId="64929692">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淮北市科学技术协会</w:t>
      </w:r>
      <w:r>
        <w:rPr>
          <w:rFonts w:hint="eastAsia" w:ascii="TimesNewRoman" w:hAnsi="TimesNewRoman" w:eastAsia="仿宋_GB2312" w:cs="TimesNewRoman"/>
          <w:kern w:val="0"/>
          <w:sz w:val="32"/>
          <w:szCs w:val="32"/>
          <w:lang w:val="en-US" w:eastAsia="zh-CN"/>
        </w:rPr>
        <w:t>(本级）</w:t>
      </w:r>
      <w:r>
        <w:rPr>
          <w:rFonts w:hint="default" w:ascii="TimesNewRoman" w:hAnsi="TimesNewRoman" w:eastAsia="仿宋_GB2312" w:cs="TimesNewRoman"/>
          <w:kern w:val="0"/>
          <w:sz w:val="32"/>
          <w:szCs w:val="32"/>
        </w:rPr>
        <w:t>202</w:t>
      </w:r>
      <w:r>
        <w:rPr>
          <w:rFonts w:hint="eastAsia" w:ascii="TimesNewRoman" w:hAnsi="TimesNewRoman" w:eastAsia="仿宋_GB2312" w:cs="TimesNewRoman"/>
          <w:kern w:val="0"/>
          <w:sz w:val="32"/>
          <w:szCs w:val="32"/>
          <w:lang w:val="en-US" w:eastAsia="zh-CN"/>
        </w:rPr>
        <w:t>5</w:t>
      </w:r>
      <w:r>
        <w:rPr>
          <w:rFonts w:hint="eastAsia" w:ascii="TimesNewRoman" w:hAnsi="TimesNewRoman" w:eastAsia="仿宋_GB2312" w:cs="TimesNewRoman"/>
          <w:kern w:val="0"/>
          <w:sz w:val="32"/>
          <w:szCs w:val="32"/>
        </w:rPr>
        <w:t>年预算安排政府采购支出</w:t>
      </w:r>
      <w:r>
        <w:rPr>
          <w:rFonts w:hint="default"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lang w:val="en-US" w:eastAsia="zh-CN"/>
        </w:rPr>
        <w:t>.</w:t>
      </w:r>
      <w:r>
        <w:rPr>
          <w:rFonts w:hint="default" w:ascii="TimesNewRoman" w:hAnsi="TimesNewRoman" w:eastAsia="仿宋_GB2312" w:cs="TimesNewRoman"/>
          <w:kern w:val="0"/>
          <w:sz w:val="32"/>
          <w:szCs w:val="32"/>
          <w:lang w:val="en-US" w:eastAsia="zh-CN"/>
        </w:rPr>
        <w:t>50</w:t>
      </w:r>
      <w:r>
        <w:rPr>
          <w:rFonts w:hint="eastAsia" w:ascii="TimesNewRoman" w:hAnsi="TimesNewRoman" w:eastAsia="仿宋_GB2312" w:cs="TimesNewRoman"/>
          <w:kern w:val="0"/>
          <w:sz w:val="32"/>
          <w:szCs w:val="32"/>
        </w:rPr>
        <w:t>万元，</w:t>
      </w:r>
      <w:r>
        <w:rPr>
          <w:rFonts w:hint="eastAsia" w:ascii="TimesNewRoman" w:hAnsi="TimesNewRoman" w:eastAsia="仿宋_GB2312" w:cs="TimesNewRoman"/>
          <w:kern w:val="0"/>
          <w:sz w:val="32"/>
          <w:szCs w:val="32"/>
          <w:lang w:val="en-US" w:eastAsia="zh-CN"/>
        </w:rPr>
        <w:t>与</w:t>
      </w:r>
      <w:r>
        <w:rPr>
          <w:rFonts w:hint="default" w:ascii="TimesNewRoman" w:hAnsi="TimesNewRoman" w:eastAsia="仿宋_GB2312" w:cs="TimesNewRoman"/>
          <w:kern w:val="0"/>
          <w:sz w:val="32"/>
          <w:szCs w:val="32"/>
        </w:rPr>
        <w:t>202</w:t>
      </w:r>
      <w:r>
        <w:rPr>
          <w:rFonts w:hint="eastAsia" w:ascii="TimesNewRoman" w:hAnsi="TimesNewRoman" w:eastAsia="仿宋_GB2312" w:cs="TimesNewRoman"/>
          <w:kern w:val="0"/>
          <w:sz w:val="32"/>
          <w:szCs w:val="32"/>
          <w:lang w:val="en-US" w:eastAsia="zh-CN"/>
        </w:rPr>
        <w:t>4</w:t>
      </w:r>
      <w:r>
        <w:rPr>
          <w:rFonts w:hint="eastAsia" w:ascii="TimesNewRoman" w:hAnsi="TimesNewRoman" w:eastAsia="仿宋_GB2312" w:cs="TimesNewRoman"/>
          <w:kern w:val="0"/>
          <w:sz w:val="32"/>
          <w:szCs w:val="32"/>
        </w:rPr>
        <w:t>年预算</w:t>
      </w:r>
      <w:r>
        <w:rPr>
          <w:rFonts w:hint="eastAsia" w:ascii="TimesNewRoman" w:hAnsi="TimesNewRoman" w:eastAsia="仿宋_GB2312" w:cs="TimesNewRoman"/>
          <w:kern w:val="0"/>
          <w:sz w:val="32"/>
          <w:szCs w:val="32"/>
          <w:lang w:val="en-US" w:eastAsia="zh-CN"/>
        </w:rPr>
        <w:t>相比无变化</w:t>
      </w:r>
      <w:r>
        <w:rPr>
          <w:rFonts w:hint="eastAsia" w:ascii="TimesNewRoman" w:hAnsi="TimesNewRoman" w:eastAsia="仿宋_GB2312" w:cs="TimesNewRoman"/>
          <w:kern w:val="0"/>
          <w:sz w:val="32"/>
          <w:szCs w:val="32"/>
        </w:rPr>
        <w:t>。其中，一般公共预算安排</w:t>
      </w:r>
      <w:r>
        <w:rPr>
          <w:rFonts w:hint="default"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lang w:val="en-US" w:eastAsia="zh-CN"/>
        </w:rPr>
        <w:t>.</w:t>
      </w:r>
      <w:r>
        <w:rPr>
          <w:rFonts w:hint="default" w:ascii="TimesNewRoman" w:hAnsi="TimesNewRoman" w:eastAsia="仿宋_GB2312" w:cs="TimesNewRoman"/>
          <w:kern w:val="0"/>
          <w:sz w:val="32"/>
          <w:szCs w:val="32"/>
          <w:lang w:val="en-US" w:eastAsia="zh-CN"/>
        </w:rPr>
        <w:t>50</w:t>
      </w:r>
      <w:r>
        <w:rPr>
          <w:rFonts w:hint="eastAsia" w:ascii="TimesNewRoman" w:hAnsi="TimesNewRoman" w:eastAsia="仿宋_GB2312" w:cs="TimesNewRoman"/>
          <w:kern w:val="0"/>
          <w:sz w:val="32"/>
          <w:szCs w:val="32"/>
        </w:rPr>
        <w:t>万元，占</w:t>
      </w:r>
      <w:r>
        <w:rPr>
          <w:rFonts w:hint="default" w:ascii="TimesNewRoman" w:hAnsi="TimesNewRoman" w:eastAsia="仿宋_GB2312" w:cs="TimesNewRoman"/>
          <w:kern w:val="0"/>
          <w:sz w:val="32"/>
          <w:szCs w:val="32"/>
          <w:lang w:val="en-US" w:eastAsia="zh-CN"/>
        </w:rPr>
        <w:t>100</w:t>
      </w:r>
      <w:r>
        <w:rPr>
          <w:rFonts w:hint="eastAsia" w:ascii="TimesNewRoman" w:hAnsi="TimesNewRoman" w:eastAsia="仿宋_GB2312" w:cs="TimesNewRoman"/>
          <w:kern w:val="0"/>
          <w:sz w:val="32"/>
          <w:szCs w:val="32"/>
        </w:rPr>
        <w:t>%；政府性基金预算安排</w:t>
      </w:r>
      <w:r>
        <w:rPr>
          <w:rFonts w:hint="default"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lang w:val="en-US" w:eastAsia="zh-CN"/>
        </w:rPr>
        <w:t>.</w:t>
      </w:r>
      <w:r>
        <w:rPr>
          <w:rFonts w:hint="default" w:ascii="TimesNewRoman" w:hAnsi="TimesNewRoman" w:eastAsia="仿宋_GB2312" w:cs="TimesNewRoman"/>
          <w:kern w:val="0"/>
          <w:sz w:val="32"/>
          <w:szCs w:val="32"/>
          <w:lang w:val="en-US" w:eastAsia="zh-CN"/>
        </w:rPr>
        <w:t>00</w:t>
      </w:r>
      <w:r>
        <w:rPr>
          <w:rFonts w:hint="eastAsia" w:ascii="TimesNewRoman" w:hAnsi="TimesNewRoman" w:eastAsia="仿宋_GB2312" w:cs="TimesNewRoman"/>
          <w:kern w:val="0"/>
          <w:sz w:val="32"/>
          <w:szCs w:val="32"/>
        </w:rPr>
        <w:t>万元，占</w:t>
      </w:r>
      <w:r>
        <w:rPr>
          <w:rFonts w:hint="default"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%；财政专户管理资金安排</w:t>
      </w:r>
      <w:r>
        <w:rPr>
          <w:rFonts w:hint="default"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lang w:val="en-US" w:eastAsia="zh-CN"/>
        </w:rPr>
        <w:t>.</w:t>
      </w:r>
      <w:r>
        <w:rPr>
          <w:rFonts w:hint="default" w:ascii="TimesNewRoman" w:hAnsi="TimesNewRoman" w:eastAsia="仿宋_GB2312" w:cs="TimesNewRoman"/>
          <w:kern w:val="0"/>
          <w:sz w:val="32"/>
          <w:szCs w:val="32"/>
          <w:lang w:val="en-US" w:eastAsia="zh-CN"/>
        </w:rPr>
        <w:t>00</w:t>
      </w:r>
      <w:r>
        <w:rPr>
          <w:rFonts w:hint="eastAsia" w:ascii="TimesNewRoman" w:hAnsi="TimesNewRoman" w:eastAsia="仿宋_GB2312" w:cs="TimesNewRoman"/>
          <w:kern w:val="0"/>
          <w:sz w:val="32"/>
          <w:szCs w:val="32"/>
        </w:rPr>
        <w:t>万元，占</w:t>
      </w:r>
      <w:r>
        <w:rPr>
          <w:rFonts w:hint="default"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w:t>
      </w:r>
    </w:p>
    <w:p w14:paraId="5046445D">
      <w:pPr>
        <w:pStyle w:val="5"/>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十一、关于2025年政府购买服务支出表的说明</w:t>
      </w:r>
    </w:p>
    <w:p w14:paraId="1390346F">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lang w:eastAsia="zh-CN"/>
        </w:rPr>
        <w:t>淮北市科学技术协会（本级）</w:t>
      </w:r>
      <w:r>
        <w:rPr>
          <w:rFonts w:hint="eastAsia" w:ascii="TimesNewRoman" w:hAnsi="TimesNewRoman" w:eastAsia="仿宋_GB2312" w:cs="TimesNewRoman"/>
          <w:kern w:val="0"/>
          <w:sz w:val="32"/>
          <w:szCs w:val="32"/>
        </w:rPr>
        <w:t>2025年没有安排政府购买服务支出。</w:t>
      </w:r>
    </w:p>
    <w:p w14:paraId="66DA2A19">
      <w:pPr>
        <w:pStyle w:val="5"/>
        <w:adjustRightInd w:val="0"/>
        <w:snapToGrid w:val="0"/>
        <w:spacing w:line="560" w:lineRule="exact"/>
        <w:ind w:firstLine="627" w:firstLineChars="196"/>
        <w:rPr>
          <w:rFonts w:hint="eastAsia" w:ascii="TimesNewRoman" w:hAnsi="TimesNewRoman" w:eastAsia="黑体" w:cs="TimesNewRoman"/>
          <w:bCs/>
          <w:sz w:val="32"/>
          <w:szCs w:val="32"/>
        </w:rPr>
      </w:pPr>
    </w:p>
    <w:p w14:paraId="3E74D9EA">
      <w:pPr>
        <w:pStyle w:val="5"/>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十二、其他重要事项情况说明</w:t>
      </w:r>
    </w:p>
    <w:p w14:paraId="0E0220E9">
      <w:pPr>
        <w:adjustRightInd w:val="0"/>
        <w:snapToGrid w:val="0"/>
        <w:spacing w:line="58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（一）项目及绩效目标情况。</w:t>
      </w:r>
    </w:p>
    <w:p w14:paraId="6C26F3CB">
      <w:pPr>
        <w:ind w:firstLine="640" w:firstLineChars="200"/>
        <w:rPr>
          <w:rFonts w:hint="eastAsia" w:ascii="TimesNewRoman" w:hAnsi="TimesNewRoman" w:eastAsia="仿宋_GB2312" w:cs="TimesNewRoman"/>
          <w:kern w:val="0"/>
          <w:sz w:val="32"/>
          <w:szCs w:val="32"/>
          <w:lang w:eastAsia="zh-CN"/>
        </w:rPr>
      </w:pPr>
      <w:r>
        <w:rPr>
          <w:rFonts w:hint="default" w:ascii="TimesNewRoman" w:hAnsi="TimesNewRoman" w:eastAsia="仿宋_GB2312" w:cs="TimesNewRoman"/>
          <w:kern w:val="0"/>
          <w:sz w:val="32"/>
          <w:szCs w:val="32"/>
          <w:lang w:eastAsia="zh-CN"/>
        </w:rPr>
        <w:t>1</w:t>
      </w:r>
      <w:r>
        <w:rPr>
          <w:rFonts w:hint="eastAsia" w:ascii="TimesNewRoman" w:hAnsi="TimesNewRoman" w:eastAsia="仿宋_GB2312" w:cs="TimesNewRoman"/>
          <w:kern w:val="0"/>
          <w:sz w:val="32"/>
          <w:szCs w:val="32"/>
          <w:lang w:eastAsia="zh-CN"/>
        </w:rPr>
        <w:t>、“大篷车专项经费”项目。</w:t>
      </w:r>
    </w:p>
    <w:p w14:paraId="3C7098F1">
      <w:pPr>
        <w:ind w:firstLine="640" w:firstLineChars="200"/>
        <w:rPr>
          <w:rFonts w:hint="eastAsia" w:ascii="TimesNewRoman" w:hAnsi="TimesNewRoman" w:eastAsia="仿宋_GB2312" w:cs="TimesNewRoman"/>
          <w:kern w:val="0"/>
          <w:sz w:val="32"/>
          <w:szCs w:val="32"/>
          <w:lang w:eastAsia="zh-CN"/>
        </w:rPr>
      </w:pPr>
      <w:r>
        <w:rPr>
          <w:rFonts w:hint="eastAsia" w:ascii="TimesNewRoman" w:hAnsi="TimesNewRoman" w:eastAsia="仿宋_GB2312" w:cs="TimesNewRoman"/>
          <w:kern w:val="0"/>
          <w:sz w:val="32"/>
          <w:szCs w:val="32"/>
          <w:lang w:eastAsia="zh-CN"/>
        </w:rPr>
        <w:t>（</w:t>
      </w:r>
      <w:r>
        <w:rPr>
          <w:rFonts w:hint="default" w:ascii="TimesNewRoman" w:hAnsi="TimesNewRoman" w:eastAsia="仿宋_GB2312" w:cs="TimesNewRoman"/>
          <w:kern w:val="0"/>
          <w:sz w:val="32"/>
          <w:szCs w:val="32"/>
          <w:lang w:eastAsia="zh-CN"/>
        </w:rPr>
        <w:t>1</w:t>
      </w:r>
      <w:r>
        <w:rPr>
          <w:rFonts w:hint="eastAsia" w:ascii="TimesNewRoman" w:hAnsi="TimesNewRoman" w:eastAsia="仿宋_GB2312" w:cs="TimesNewRoman"/>
          <w:kern w:val="0"/>
          <w:sz w:val="32"/>
          <w:szCs w:val="32"/>
          <w:lang w:eastAsia="zh-CN"/>
        </w:rPr>
        <w:t>）项目概述。该项目资金主要用于车辆用油、展教设备的维修和保养、车辆的维修保养、添置随车展教设备、所需人员的工资及生活补助、车辆保险等项目费用。</w:t>
      </w:r>
    </w:p>
    <w:p w14:paraId="22077C34">
      <w:pPr>
        <w:ind w:firstLine="640" w:firstLineChars="200"/>
        <w:rPr>
          <w:rFonts w:hint="eastAsia" w:ascii="TimesNewRoman" w:hAnsi="TimesNewRoman" w:eastAsia="仿宋_GB2312" w:cs="TimesNewRoman"/>
          <w:kern w:val="0"/>
          <w:sz w:val="32"/>
          <w:szCs w:val="32"/>
          <w:lang w:eastAsia="zh-CN"/>
        </w:rPr>
      </w:pPr>
      <w:r>
        <w:rPr>
          <w:rFonts w:hint="eastAsia" w:ascii="TimesNewRoman" w:hAnsi="TimesNewRoman" w:eastAsia="仿宋_GB2312" w:cs="TimesNewRoman"/>
          <w:kern w:val="0"/>
          <w:sz w:val="32"/>
          <w:szCs w:val="32"/>
          <w:lang w:eastAsia="zh-CN"/>
        </w:rPr>
        <w:t>（</w:t>
      </w:r>
      <w:r>
        <w:rPr>
          <w:rFonts w:hint="default" w:ascii="TimesNewRoman" w:hAnsi="TimesNewRoman" w:eastAsia="仿宋_GB2312" w:cs="TimesNewRoman"/>
          <w:kern w:val="0"/>
          <w:sz w:val="32"/>
          <w:szCs w:val="32"/>
          <w:lang w:eastAsia="zh-CN"/>
        </w:rPr>
        <w:t>2</w:t>
      </w:r>
      <w:r>
        <w:rPr>
          <w:rFonts w:hint="eastAsia" w:ascii="TimesNewRoman" w:hAnsi="TimesNewRoman" w:eastAsia="仿宋_GB2312" w:cs="TimesNewRoman"/>
          <w:kern w:val="0"/>
          <w:sz w:val="32"/>
          <w:szCs w:val="32"/>
          <w:lang w:eastAsia="zh-CN"/>
        </w:rPr>
        <w:t>）立项依据。</w:t>
      </w:r>
    </w:p>
    <w:p w14:paraId="44ECA8F0">
      <w:pPr>
        <w:ind w:firstLine="640" w:firstLineChars="200"/>
        <w:rPr>
          <w:rFonts w:hint="eastAsia" w:ascii="TimesNewRoman" w:hAnsi="TimesNewRoman" w:eastAsia="仿宋_GB2312" w:cs="TimesNewRoman"/>
          <w:kern w:val="0"/>
          <w:sz w:val="32"/>
          <w:szCs w:val="32"/>
          <w:lang w:eastAsia="zh-CN"/>
        </w:rPr>
      </w:pPr>
      <w:r>
        <w:rPr>
          <w:rFonts w:hint="eastAsia" w:ascii="TimesNewRoman" w:hAnsi="TimesNewRoman" w:eastAsia="仿宋_GB2312" w:cs="TimesNewRoman"/>
          <w:kern w:val="0"/>
          <w:sz w:val="32"/>
          <w:szCs w:val="32"/>
          <w:lang w:eastAsia="zh-CN"/>
        </w:rPr>
        <w:t>（</w:t>
      </w:r>
      <w:r>
        <w:rPr>
          <w:rFonts w:hint="default" w:ascii="TimesNewRoman" w:hAnsi="TimesNewRoman" w:eastAsia="仿宋_GB2312" w:cs="TimesNewRoman"/>
          <w:kern w:val="0"/>
          <w:sz w:val="32"/>
          <w:szCs w:val="32"/>
          <w:lang w:eastAsia="zh-CN"/>
        </w:rPr>
        <w:t>3</w:t>
      </w:r>
      <w:r>
        <w:rPr>
          <w:rFonts w:hint="eastAsia" w:ascii="TimesNewRoman" w:hAnsi="TimesNewRoman" w:eastAsia="仿宋_GB2312" w:cs="TimesNewRoman"/>
          <w:kern w:val="0"/>
          <w:sz w:val="32"/>
          <w:szCs w:val="32"/>
          <w:lang w:eastAsia="zh-CN"/>
        </w:rPr>
        <w:t>）实施主体。淮北市科学技术协会（本级）</w:t>
      </w:r>
    </w:p>
    <w:p w14:paraId="54A2B57B">
      <w:pPr>
        <w:ind w:firstLine="640" w:firstLineChars="200"/>
        <w:rPr>
          <w:rFonts w:hint="eastAsia" w:ascii="TimesNewRoman" w:hAnsi="TimesNewRoman" w:eastAsia="仿宋_GB2312" w:cs="TimesNewRoman"/>
          <w:kern w:val="0"/>
          <w:sz w:val="32"/>
          <w:szCs w:val="32"/>
          <w:lang w:val="en-US" w:eastAsia="zh-CN"/>
        </w:rPr>
      </w:pPr>
      <w:r>
        <w:rPr>
          <w:rFonts w:hint="eastAsia" w:ascii="TimesNewRoman" w:hAnsi="TimesNewRoman" w:eastAsia="仿宋_GB2312" w:cs="TimesNewRoman"/>
          <w:kern w:val="0"/>
          <w:sz w:val="32"/>
          <w:szCs w:val="32"/>
          <w:lang w:eastAsia="zh-CN"/>
        </w:rPr>
        <w:t>（</w:t>
      </w:r>
      <w:r>
        <w:rPr>
          <w:rFonts w:hint="default" w:ascii="TimesNewRoman" w:hAnsi="TimesNewRoman" w:eastAsia="仿宋_GB2312" w:cs="TimesNewRoman"/>
          <w:kern w:val="0"/>
          <w:sz w:val="32"/>
          <w:szCs w:val="32"/>
          <w:lang w:eastAsia="zh-CN"/>
        </w:rPr>
        <w:t>4</w:t>
      </w:r>
      <w:r>
        <w:rPr>
          <w:rFonts w:hint="eastAsia" w:ascii="TimesNewRoman" w:hAnsi="TimesNewRoman" w:eastAsia="仿宋_GB2312" w:cs="TimesNewRoman"/>
          <w:kern w:val="0"/>
          <w:sz w:val="32"/>
          <w:szCs w:val="32"/>
          <w:lang w:eastAsia="zh-CN"/>
        </w:rPr>
        <w:t>）起止时间。</w:t>
      </w:r>
      <w:r>
        <w:rPr>
          <w:rFonts w:hint="default" w:ascii="TimesNewRoman" w:hAnsi="TimesNewRoman" w:eastAsia="仿宋_GB2312" w:cs="TimesNewRoman"/>
          <w:kern w:val="0"/>
          <w:sz w:val="32"/>
          <w:szCs w:val="32"/>
          <w:lang w:val="en-US" w:eastAsia="zh-CN"/>
        </w:rPr>
        <w:t>202</w:t>
      </w:r>
      <w:r>
        <w:rPr>
          <w:rFonts w:hint="eastAsia" w:ascii="TimesNewRoman" w:hAnsi="TimesNewRoman" w:eastAsia="仿宋_GB2312" w:cs="TimesNewRoman"/>
          <w:kern w:val="0"/>
          <w:sz w:val="32"/>
          <w:szCs w:val="32"/>
          <w:lang w:val="en-US" w:eastAsia="zh-CN"/>
        </w:rPr>
        <w:t>5.</w:t>
      </w:r>
      <w:r>
        <w:rPr>
          <w:rFonts w:hint="default" w:ascii="TimesNewRoman" w:hAnsi="TimesNewRoman" w:eastAsia="仿宋_GB2312" w:cs="TimesNewRoman"/>
          <w:kern w:val="0"/>
          <w:sz w:val="32"/>
          <w:szCs w:val="32"/>
          <w:lang w:val="en-US" w:eastAsia="zh-CN"/>
        </w:rPr>
        <w:t>01</w:t>
      </w:r>
      <w:r>
        <w:rPr>
          <w:rFonts w:hint="eastAsia" w:ascii="TimesNewRoman" w:hAnsi="TimesNewRoman" w:eastAsia="仿宋_GB2312" w:cs="TimesNewRoman"/>
          <w:kern w:val="0"/>
          <w:sz w:val="32"/>
          <w:szCs w:val="32"/>
          <w:lang w:val="en-US" w:eastAsia="zh-CN"/>
        </w:rPr>
        <w:t>-</w:t>
      </w:r>
      <w:r>
        <w:rPr>
          <w:rFonts w:hint="default" w:ascii="TimesNewRoman" w:hAnsi="TimesNewRoman" w:eastAsia="仿宋_GB2312" w:cs="TimesNewRoman"/>
          <w:kern w:val="0"/>
          <w:sz w:val="32"/>
          <w:szCs w:val="32"/>
          <w:lang w:val="en-US" w:eastAsia="zh-CN"/>
        </w:rPr>
        <w:t>202</w:t>
      </w:r>
      <w:r>
        <w:rPr>
          <w:rFonts w:hint="eastAsia" w:ascii="TimesNewRoman" w:hAnsi="TimesNewRoman" w:eastAsia="仿宋_GB2312" w:cs="TimesNewRoman"/>
          <w:kern w:val="0"/>
          <w:sz w:val="32"/>
          <w:szCs w:val="32"/>
          <w:lang w:val="en-US" w:eastAsia="zh-CN"/>
        </w:rPr>
        <w:t>5.</w:t>
      </w:r>
      <w:r>
        <w:rPr>
          <w:rFonts w:hint="default" w:ascii="TimesNewRoman" w:hAnsi="TimesNewRoman" w:eastAsia="仿宋_GB2312" w:cs="TimesNewRoman"/>
          <w:kern w:val="0"/>
          <w:sz w:val="32"/>
          <w:szCs w:val="32"/>
          <w:lang w:val="en-US" w:eastAsia="zh-CN"/>
        </w:rPr>
        <w:t>12</w:t>
      </w:r>
    </w:p>
    <w:p w14:paraId="15167579">
      <w:pPr>
        <w:ind w:firstLine="640" w:firstLineChars="200"/>
        <w:rPr>
          <w:rFonts w:hint="eastAsia" w:ascii="TimesNewRoman" w:hAnsi="TimesNewRoman" w:eastAsia="仿宋_GB2312" w:cs="TimesNewRoman"/>
          <w:kern w:val="0"/>
          <w:sz w:val="32"/>
          <w:szCs w:val="32"/>
          <w:lang w:eastAsia="zh-CN"/>
        </w:rPr>
      </w:pPr>
      <w:r>
        <w:rPr>
          <w:rFonts w:hint="eastAsia" w:ascii="TimesNewRoman" w:hAnsi="TimesNewRoman" w:eastAsia="仿宋_GB2312" w:cs="TimesNewRoman"/>
          <w:kern w:val="0"/>
          <w:sz w:val="32"/>
          <w:szCs w:val="32"/>
          <w:lang w:eastAsia="zh-CN"/>
        </w:rPr>
        <w:t>（</w:t>
      </w:r>
      <w:r>
        <w:rPr>
          <w:rFonts w:hint="default" w:ascii="TimesNewRoman" w:hAnsi="TimesNewRoman" w:eastAsia="仿宋_GB2312" w:cs="TimesNewRoman"/>
          <w:kern w:val="0"/>
          <w:sz w:val="32"/>
          <w:szCs w:val="32"/>
          <w:lang w:eastAsia="zh-CN"/>
        </w:rPr>
        <w:t>5</w:t>
      </w:r>
      <w:r>
        <w:rPr>
          <w:rFonts w:hint="eastAsia" w:ascii="TimesNewRoman" w:hAnsi="TimesNewRoman" w:eastAsia="仿宋_GB2312" w:cs="TimesNewRoman"/>
          <w:kern w:val="0"/>
          <w:sz w:val="32"/>
          <w:szCs w:val="32"/>
          <w:lang w:eastAsia="zh-CN"/>
        </w:rPr>
        <w:t>）项目内容。</w:t>
      </w:r>
    </w:p>
    <w:p w14:paraId="13EB842A">
      <w:pPr>
        <w:ind w:firstLine="640" w:firstLineChars="200"/>
        <w:rPr>
          <w:rFonts w:hint="default" w:ascii="TimesNewRoman" w:hAnsi="TimesNewRoman" w:eastAsia="仿宋_GB2312" w:cs="TimesNewRoman"/>
          <w:kern w:val="0"/>
          <w:sz w:val="32"/>
          <w:szCs w:val="32"/>
          <w:lang w:val="en-US" w:eastAsia="zh-CN"/>
        </w:rPr>
      </w:pPr>
      <w:r>
        <w:rPr>
          <w:rFonts w:hint="eastAsia" w:ascii="TimesNewRoman" w:hAnsi="TimesNewRoman" w:eastAsia="仿宋_GB2312" w:cs="TimesNewRoman"/>
          <w:kern w:val="0"/>
          <w:sz w:val="32"/>
          <w:szCs w:val="32"/>
          <w:lang w:eastAsia="zh-CN"/>
        </w:rPr>
        <w:t>（</w:t>
      </w:r>
      <w:r>
        <w:rPr>
          <w:rFonts w:hint="default" w:ascii="TimesNewRoman" w:hAnsi="TimesNewRoman" w:eastAsia="仿宋_GB2312" w:cs="TimesNewRoman"/>
          <w:kern w:val="0"/>
          <w:sz w:val="32"/>
          <w:szCs w:val="32"/>
          <w:lang w:eastAsia="zh-CN"/>
        </w:rPr>
        <w:t>6</w:t>
      </w:r>
      <w:r>
        <w:rPr>
          <w:rFonts w:hint="eastAsia" w:ascii="TimesNewRoman" w:hAnsi="TimesNewRoman" w:eastAsia="仿宋_GB2312" w:cs="TimesNewRoman"/>
          <w:kern w:val="0"/>
          <w:sz w:val="32"/>
          <w:szCs w:val="32"/>
          <w:lang w:eastAsia="zh-CN"/>
        </w:rPr>
        <w:t>）年度预算安排。</w:t>
      </w:r>
      <w:r>
        <w:rPr>
          <w:rFonts w:hint="eastAsia" w:ascii="TimesNewRoman" w:hAnsi="TimesNewRoman" w:eastAsia="仿宋_GB2312" w:cs="TimesNewRoman"/>
          <w:kern w:val="0"/>
          <w:sz w:val="32"/>
          <w:szCs w:val="32"/>
          <w:lang w:val="en-US" w:eastAsia="zh-CN"/>
        </w:rPr>
        <w:t>3.6万元</w:t>
      </w:r>
    </w:p>
    <w:p w14:paraId="3EA46DBA">
      <w:pPr>
        <w:ind w:firstLine="640" w:firstLineChars="200"/>
        <w:rPr>
          <w:rFonts w:hint="eastAsia" w:ascii="TimesNewRoman" w:hAnsi="TimesNewRoman" w:eastAsia="仿宋_GB2312" w:cs="TimesNewRoman"/>
          <w:kern w:val="0"/>
          <w:sz w:val="32"/>
          <w:szCs w:val="32"/>
          <w:lang w:eastAsia="zh-CN"/>
        </w:rPr>
      </w:pPr>
      <w:r>
        <w:rPr>
          <w:rFonts w:hint="eastAsia" w:ascii="TimesNewRoman" w:hAnsi="TimesNewRoman" w:eastAsia="仿宋_GB2312" w:cs="TimesNewRoman"/>
          <w:kern w:val="0"/>
          <w:sz w:val="32"/>
          <w:szCs w:val="32"/>
          <w:lang w:eastAsia="zh-CN"/>
        </w:rPr>
        <w:t>（</w:t>
      </w:r>
      <w:r>
        <w:rPr>
          <w:rFonts w:hint="default" w:ascii="TimesNewRoman" w:hAnsi="TimesNewRoman" w:eastAsia="仿宋_GB2312" w:cs="TimesNewRoman"/>
          <w:kern w:val="0"/>
          <w:sz w:val="32"/>
          <w:szCs w:val="32"/>
          <w:lang w:eastAsia="zh-CN"/>
        </w:rPr>
        <w:t>7</w:t>
      </w:r>
      <w:r>
        <w:rPr>
          <w:rFonts w:hint="eastAsia" w:ascii="TimesNewRoman" w:hAnsi="TimesNewRoman" w:eastAsia="仿宋_GB2312" w:cs="TimesNewRoman"/>
          <w:kern w:val="0"/>
          <w:sz w:val="32"/>
          <w:szCs w:val="32"/>
          <w:lang w:eastAsia="zh-CN"/>
        </w:rPr>
        <w:t>）绩效目标。</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
        <w:gridCol w:w="723"/>
        <w:gridCol w:w="282"/>
        <w:gridCol w:w="477"/>
        <w:gridCol w:w="2872"/>
        <w:gridCol w:w="1549"/>
        <w:gridCol w:w="2679"/>
      </w:tblGrid>
      <w:tr w14:paraId="56F55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9020" w:type="dxa"/>
            <w:gridSpan w:val="7"/>
            <w:tcBorders>
              <w:top w:val="nil"/>
              <w:left w:val="nil"/>
              <w:bottom w:val="nil"/>
              <w:right w:val="nil"/>
            </w:tcBorders>
            <w:vAlign w:val="center"/>
          </w:tcPr>
          <w:p w14:paraId="515DAC0F">
            <w:pPr>
              <w:widowControl/>
              <w:jc w:val="center"/>
              <w:textAlignment w:val="center"/>
              <w:rPr>
                <w:rFonts w:ascii="宋体" w:cs="宋体"/>
                <w:b/>
                <w:bCs/>
                <w:szCs w:val="32"/>
              </w:rPr>
            </w:pPr>
            <w:r>
              <w:rPr>
                <w:rFonts w:hint="eastAsia" w:ascii="宋体" w:hAnsi="宋体" w:eastAsia="宋体" w:cs="宋体"/>
                <w:b/>
                <w:color w:val="000000"/>
                <w:kern w:val="0"/>
                <w:sz w:val="28"/>
                <w:szCs w:val="28"/>
              </w:rPr>
              <w:t>项目支出绩效目标表</w:t>
            </w:r>
          </w:p>
        </w:tc>
      </w:tr>
      <w:tr w14:paraId="6AAC7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020" w:type="dxa"/>
            <w:gridSpan w:val="7"/>
            <w:tcBorders>
              <w:top w:val="nil"/>
              <w:left w:val="nil"/>
              <w:right w:val="nil"/>
            </w:tcBorders>
            <w:vAlign w:val="center"/>
          </w:tcPr>
          <w:p w14:paraId="15095457">
            <w:pPr>
              <w:widowControl/>
              <w:jc w:val="center"/>
              <w:textAlignment w:val="center"/>
              <w:rPr>
                <w:rFonts w:ascii="宋体" w:cs="宋体"/>
                <w:sz w:val="20"/>
              </w:rPr>
            </w:pPr>
            <w:r>
              <w:rPr>
                <w:rFonts w:hint="eastAsia" w:ascii="宋体" w:hAnsi="宋体" w:eastAsia="宋体" w:cs="宋体"/>
                <w:color w:val="000000"/>
                <w:kern w:val="0"/>
                <w:sz w:val="20"/>
                <w:szCs w:val="20"/>
              </w:rPr>
              <w:t xml:space="preserve"> （</w:t>
            </w:r>
            <w:r>
              <w:rPr>
                <w:rFonts w:hint="default" w:ascii="Times New Roman" w:hAnsi="Times New Roman" w:eastAsia="宋体" w:cs="Times New Roman"/>
                <w:color w:val="000000"/>
                <w:kern w:val="0"/>
                <w:sz w:val="20"/>
                <w:szCs w:val="20"/>
              </w:rPr>
              <w:t>202</w:t>
            </w:r>
            <w:r>
              <w:rPr>
                <w:rFonts w:hint="eastAsia" w:ascii="Times New Roman" w:hAnsi="Times New Roman" w:eastAsia="宋体" w:cs="Times New Roman"/>
                <w:color w:val="000000"/>
                <w:kern w:val="0"/>
                <w:sz w:val="20"/>
                <w:szCs w:val="20"/>
                <w:lang w:val="en-US" w:eastAsia="zh-CN"/>
              </w:rPr>
              <w:t>5</w:t>
            </w:r>
            <w:r>
              <w:rPr>
                <w:rFonts w:hint="eastAsia" w:ascii="宋体" w:hAnsi="宋体" w:eastAsia="宋体" w:cs="宋体"/>
                <w:color w:val="000000"/>
                <w:kern w:val="0"/>
                <w:sz w:val="20"/>
                <w:szCs w:val="20"/>
              </w:rPr>
              <w:t xml:space="preserve">年度）                                </w:t>
            </w:r>
          </w:p>
        </w:tc>
      </w:tr>
      <w:tr w14:paraId="43787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vAlign w:val="center"/>
          </w:tcPr>
          <w:p w14:paraId="273E0EA2">
            <w:pPr>
              <w:widowControl/>
              <w:jc w:val="center"/>
              <w:textAlignment w:val="center"/>
              <w:rPr>
                <w:rFonts w:ascii="宋体" w:cs="宋体"/>
                <w:sz w:val="20"/>
              </w:rPr>
            </w:pPr>
            <w:r>
              <w:rPr>
                <w:rFonts w:hint="eastAsia" w:ascii="宋体" w:hAnsi="宋体" w:eastAsia="宋体" w:cs="宋体"/>
                <w:color w:val="000000"/>
                <w:kern w:val="0"/>
                <w:sz w:val="20"/>
                <w:szCs w:val="20"/>
              </w:rPr>
              <w:t>项目名称</w:t>
            </w:r>
          </w:p>
        </w:tc>
        <w:tc>
          <w:tcPr>
            <w:tcW w:w="7577" w:type="dxa"/>
            <w:gridSpan w:val="4"/>
            <w:tcBorders>
              <w:tl2br w:val="nil"/>
              <w:tr2bl w:val="nil"/>
            </w:tcBorders>
            <w:vAlign w:val="center"/>
          </w:tcPr>
          <w:p w14:paraId="4AE52103">
            <w:pPr>
              <w:widowControl/>
              <w:jc w:val="center"/>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大篷车专项经费</w:t>
            </w:r>
          </w:p>
        </w:tc>
      </w:tr>
      <w:tr w14:paraId="5E078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443" w:type="dxa"/>
            <w:gridSpan w:val="3"/>
            <w:tcBorders>
              <w:tl2br w:val="nil"/>
              <w:tr2bl w:val="nil"/>
            </w:tcBorders>
            <w:vAlign w:val="center"/>
          </w:tcPr>
          <w:p w14:paraId="4CB70D34">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主管部门   及代码</w:t>
            </w:r>
          </w:p>
        </w:tc>
        <w:tc>
          <w:tcPr>
            <w:tcW w:w="3349" w:type="dxa"/>
            <w:gridSpan w:val="2"/>
            <w:tcBorders>
              <w:tl2br w:val="nil"/>
              <w:tr2bl w:val="nil"/>
            </w:tcBorders>
            <w:vAlign w:val="center"/>
          </w:tcPr>
          <w:p w14:paraId="0844D285">
            <w:pPr>
              <w:widowControl/>
              <w:jc w:val="center"/>
              <w:textAlignment w:val="center"/>
              <w:rPr>
                <w:rFonts w:hint="eastAsia" w:ascii="宋体" w:hAnsi="宋体" w:eastAsia="宋体" w:cs="宋体"/>
                <w:color w:val="000000"/>
                <w:kern w:val="0"/>
                <w:sz w:val="20"/>
                <w:szCs w:val="20"/>
              </w:rPr>
            </w:pPr>
            <w:r>
              <w:rPr>
                <w:rFonts w:hint="default" w:ascii="Times New Roman" w:hAnsi="Times New Roman" w:eastAsia="宋体" w:cs="Times New Roman"/>
                <w:color w:val="000000"/>
                <w:kern w:val="0"/>
                <w:sz w:val="20"/>
                <w:szCs w:val="20"/>
              </w:rPr>
              <w:t>067</w:t>
            </w:r>
            <w:r>
              <w:rPr>
                <w:rFonts w:hint="eastAsia" w:ascii="宋体" w:hAnsi="宋体" w:eastAsia="宋体" w:cs="宋体"/>
                <w:color w:val="000000"/>
                <w:kern w:val="0"/>
                <w:sz w:val="20"/>
                <w:szCs w:val="20"/>
              </w:rPr>
              <w:t>-淮北市科学技术协会</w:t>
            </w:r>
          </w:p>
        </w:tc>
        <w:tc>
          <w:tcPr>
            <w:tcW w:w="1549" w:type="dxa"/>
            <w:tcBorders>
              <w:tl2br w:val="nil"/>
              <w:tr2bl w:val="nil"/>
            </w:tcBorders>
            <w:vAlign w:val="center"/>
          </w:tcPr>
          <w:p w14:paraId="38CF0BC4">
            <w:pPr>
              <w:widowControl/>
              <w:jc w:val="center"/>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实施单位</w:t>
            </w:r>
          </w:p>
        </w:tc>
        <w:tc>
          <w:tcPr>
            <w:tcW w:w="2679" w:type="dxa"/>
            <w:tcBorders>
              <w:tl2br w:val="nil"/>
              <w:tr2bl w:val="nil"/>
            </w:tcBorders>
            <w:vAlign w:val="center"/>
          </w:tcPr>
          <w:p w14:paraId="0A787230">
            <w:pPr>
              <w:widowControl/>
              <w:jc w:val="center"/>
              <w:textAlignment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eastAsia="zh-CN"/>
              </w:rPr>
              <w:t>淮北市科学技术协会（本级）</w:t>
            </w:r>
          </w:p>
          <w:p w14:paraId="388B70A2">
            <w:pPr>
              <w:widowControl/>
              <w:jc w:val="center"/>
              <w:textAlignment w:val="center"/>
              <w:rPr>
                <w:rFonts w:hint="eastAsia" w:ascii="宋体" w:hAnsi="宋体" w:eastAsia="宋体" w:cs="宋体"/>
                <w:color w:val="000000"/>
                <w:kern w:val="0"/>
                <w:sz w:val="20"/>
                <w:szCs w:val="20"/>
              </w:rPr>
            </w:pPr>
          </w:p>
        </w:tc>
      </w:tr>
      <w:tr w14:paraId="461E9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vAlign w:val="center"/>
          </w:tcPr>
          <w:p w14:paraId="10AC5FDF">
            <w:pPr>
              <w:widowControl/>
              <w:jc w:val="center"/>
              <w:textAlignment w:val="center"/>
              <w:rPr>
                <w:rFonts w:ascii="宋体" w:cs="宋体"/>
                <w:sz w:val="20"/>
              </w:rPr>
            </w:pPr>
            <w:r>
              <w:rPr>
                <w:rFonts w:hint="eastAsia" w:ascii="宋体" w:hAnsi="宋体" w:eastAsia="宋体" w:cs="宋体"/>
                <w:color w:val="000000"/>
                <w:kern w:val="0"/>
                <w:sz w:val="20"/>
                <w:szCs w:val="20"/>
              </w:rPr>
              <w:t>项目来源</w:t>
            </w:r>
          </w:p>
        </w:tc>
        <w:tc>
          <w:tcPr>
            <w:tcW w:w="3349" w:type="dxa"/>
            <w:gridSpan w:val="2"/>
            <w:tcBorders>
              <w:tl2br w:val="nil"/>
              <w:tr2bl w:val="nil"/>
            </w:tcBorders>
            <w:vAlign w:val="center"/>
          </w:tcPr>
          <w:p w14:paraId="2ADEE8EE">
            <w:pPr>
              <w:jc w:val="center"/>
              <w:rPr>
                <w:rFonts w:ascii="宋体" w:cs="宋体"/>
                <w:sz w:val="20"/>
              </w:rPr>
            </w:pPr>
            <w:r>
              <w:rPr>
                <w:rFonts w:hint="default" w:ascii="Times New Roman" w:hAnsi="Times New Roman" w:cs="Times New Roman"/>
                <w:sz w:val="20"/>
              </w:rPr>
              <w:t>1</w:t>
            </w:r>
            <w:r>
              <w:rPr>
                <w:rFonts w:hint="eastAsia" w:ascii="宋体" w:cs="宋体"/>
                <w:sz w:val="20"/>
              </w:rPr>
              <w:t>-本级申报项目</w:t>
            </w:r>
          </w:p>
        </w:tc>
        <w:tc>
          <w:tcPr>
            <w:tcW w:w="1549" w:type="dxa"/>
            <w:tcBorders>
              <w:tl2br w:val="nil"/>
              <w:tr2bl w:val="nil"/>
            </w:tcBorders>
            <w:vAlign w:val="center"/>
          </w:tcPr>
          <w:p w14:paraId="768464B0">
            <w:pPr>
              <w:widowControl/>
              <w:jc w:val="center"/>
              <w:textAlignment w:val="center"/>
            </w:pPr>
            <w:r>
              <w:rPr>
                <w:rFonts w:hint="eastAsia" w:ascii="宋体" w:hAnsi="宋体" w:eastAsia="宋体" w:cs="宋体"/>
                <w:color w:val="000000"/>
                <w:kern w:val="0"/>
                <w:sz w:val="20"/>
                <w:szCs w:val="20"/>
              </w:rPr>
              <w:t>项目期</w:t>
            </w:r>
          </w:p>
        </w:tc>
        <w:tc>
          <w:tcPr>
            <w:tcW w:w="2679" w:type="dxa"/>
            <w:tcBorders>
              <w:tl2br w:val="nil"/>
              <w:tr2bl w:val="nil"/>
            </w:tcBorders>
            <w:vAlign w:val="center"/>
          </w:tcPr>
          <w:p w14:paraId="441435E4">
            <w:pPr>
              <w:jc w:val="center"/>
              <w:rPr>
                <w:rFonts w:hint="default"/>
                <w:lang w:val="en-US"/>
              </w:rPr>
            </w:pPr>
            <w:r>
              <w:rPr>
                <w:rFonts w:hint="default" w:ascii="Times New Roman" w:hAnsi="Times New Roman" w:eastAsia="宋体" w:cs="Times New Roman"/>
                <w:color w:val="000000"/>
                <w:kern w:val="0"/>
                <w:sz w:val="20"/>
                <w:szCs w:val="20"/>
                <w:lang w:val="en-US" w:eastAsia="zh-CN"/>
              </w:rPr>
              <w:t>1</w:t>
            </w:r>
            <w:r>
              <w:rPr>
                <w:rFonts w:hint="eastAsia" w:ascii="宋体" w:hAnsi="宋体" w:eastAsia="宋体" w:cs="宋体"/>
                <w:color w:val="000000"/>
                <w:kern w:val="0"/>
                <w:sz w:val="20"/>
                <w:szCs w:val="20"/>
                <w:lang w:val="en-US" w:eastAsia="zh-CN"/>
              </w:rPr>
              <w:t>年</w:t>
            </w:r>
          </w:p>
        </w:tc>
      </w:tr>
      <w:tr w14:paraId="216EA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restart"/>
            <w:tcBorders>
              <w:tl2br w:val="nil"/>
              <w:tr2bl w:val="nil"/>
            </w:tcBorders>
            <w:vAlign w:val="center"/>
          </w:tcPr>
          <w:p w14:paraId="2D13B8AD">
            <w:pPr>
              <w:widowControl/>
              <w:jc w:val="center"/>
              <w:textAlignment w:val="center"/>
              <w:rPr>
                <w:rFonts w:ascii="宋体" w:cs="宋体"/>
                <w:sz w:val="20"/>
              </w:rPr>
            </w:pPr>
            <w:r>
              <w:rPr>
                <w:rFonts w:hint="eastAsia" w:ascii="宋体" w:hAnsi="宋体" w:eastAsia="宋体" w:cs="宋体"/>
                <w:color w:val="000000"/>
                <w:kern w:val="0"/>
                <w:sz w:val="20"/>
                <w:szCs w:val="20"/>
              </w:rPr>
              <w:t>项目资金</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（万元）</w:t>
            </w:r>
          </w:p>
        </w:tc>
        <w:tc>
          <w:tcPr>
            <w:tcW w:w="3349" w:type="dxa"/>
            <w:gridSpan w:val="2"/>
            <w:tcBorders>
              <w:tl2br w:val="nil"/>
              <w:tr2bl w:val="nil"/>
            </w:tcBorders>
            <w:vAlign w:val="center"/>
          </w:tcPr>
          <w:p w14:paraId="0074A43D">
            <w:pPr>
              <w:widowControl/>
              <w:jc w:val="left"/>
              <w:textAlignment w:val="center"/>
              <w:rPr>
                <w:rFonts w:ascii="宋体" w:cs="宋体"/>
                <w:sz w:val="20"/>
              </w:rPr>
            </w:pPr>
            <w:r>
              <w:rPr>
                <w:rFonts w:hint="eastAsia" w:ascii="宋体" w:hAnsi="宋体" w:eastAsia="宋体" w:cs="宋体"/>
                <w:color w:val="000000"/>
                <w:kern w:val="0"/>
                <w:sz w:val="20"/>
                <w:szCs w:val="20"/>
              </w:rPr>
              <w:t xml:space="preserve"> 年度资金总额：</w:t>
            </w:r>
          </w:p>
        </w:tc>
        <w:tc>
          <w:tcPr>
            <w:tcW w:w="4228" w:type="dxa"/>
            <w:gridSpan w:val="2"/>
            <w:tcBorders>
              <w:tl2br w:val="nil"/>
              <w:tr2bl w:val="nil"/>
            </w:tcBorders>
            <w:vAlign w:val="center"/>
          </w:tcPr>
          <w:p w14:paraId="75ECFE72">
            <w:pPr>
              <w:jc w:val="center"/>
              <w:rPr>
                <w:rFonts w:hint="eastAsia" w:ascii="宋体" w:hAnsi="宋体" w:eastAsia="宋体" w:cs="宋体"/>
                <w:color w:val="000000"/>
                <w:kern w:val="0"/>
                <w:sz w:val="20"/>
                <w:szCs w:val="20"/>
                <w:lang w:val="en-US" w:eastAsia="zh-CN"/>
              </w:rPr>
            </w:pPr>
            <w:r>
              <w:rPr>
                <w:rFonts w:hint="eastAsia" w:ascii="Times New Roman" w:hAnsi="Times New Roman" w:eastAsia="宋体" w:cs="Times New Roman"/>
                <w:color w:val="000000"/>
                <w:kern w:val="0"/>
                <w:sz w:val="20"/>
                <w:szCs w:val="20"/>
                <w:lang w:val="en-US" w:eastAsia="zh-CN"/>
              </w:rPr>
              <w:t>3.6</w:t>
            </w:r>
            <w:r>
              <w:rPr>
                <w:rFonts w:hint="eastAsia" w:ascii="宋体" w:hAnsi="宋体" w:eastAsia="宋体" w:cs="宋体"/>
                <w:color w:val="000000"/>
                <w:kern w:val="0"/>
                <w:sz w:val="20"/>
                <w:szCs w:val="20"/>
                <w:lang w:val="en-US" w:eastAsia="zh-CN"/>
              </w:rPr>
              <w:t>万元</w:t>
            </w:r>
          </w:p>
        </w:tc>
      </w:tr>
      <w:tr w14:paraId="5AC77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76003362">
            <w:pPr>
              <w:jc w:val="center"/>
              <w:rPr>
                <w:rFonts w:ascii="宋体" w:cs="宋体"/>
                <w:sz w:val="20"/>
              </w:rPr>
            </w:pPr>
          </w:p>
        </w:tc>
        <w:tc>
          <w:tcPr>
            <w:tcW w:w="3349" w:type="dxa"/>
            <w:gridSpan w:val="2"/>
            <w:tcBorders>
              <w:tl2br w:val="nil"/>
              <w:tr2bl w:val="nil"/>
            </w:tcBorders>
            <w:vAlign w:val="center"/>
          </w:tcPr>
          <w:p w14:paraId="4EFDE2EB">
            <w:pPr>
              <w:widowControl/>
              <w:jc w:val="left"/>
              <w:textAlignment w:val="center"/>
              <w:rPr>
                <w:rFonts w:ascii="宋体" w:cs="宋体"/>
                <w:sz w:val="20"/>
              </w:rPr>
            </w:pPr>
            <w:r>
              <w:rPr>
                <w:rFonts w:hint="eastAsia" w:ascii="宋体" w:hAnsi="宋体" w:eastAsia="宋体" w:cs="宋体"/>
                <w:color w:val="000000"/>
                <w:kern w:val="0"/>
                <w:sz w:val="20"/>
                <w:szCs w:val="20"/>
              </w:rPr>
              <w:t xml:space="preserve">   其中：财政拨款</w:t>
            </w:r>
          </w:p>
        </w:tc>
        <w:tc>
          <w:tcPr>
            <w:tcW w:w="4228" w:type="dxa"/>
            <w:gridSpan w:val="2"/>
            <w:tcBorders>
              <w:tl2br w:val="nil"/>
              <w:tr2bl w:val="nil"/>
            </w:tcBorders>
            <w:vAlign w:val="center"/>
          </w:tcPr>
          <w:p w14:paraId="1CA061B7">
            <w:pPr>
              <w:jc w:val="center"/>
              <w:rPr>
                <w:rFonts w:hint="eastAsia" w:ascii="宋体" w:hAnsi="宋体" w:eastAsia="宋体" w:cs="宋体"/>
                <w:color w:val="000000"/>
                <w:kern w:val="0"/>
                <w:sz w:val="20"/>
                <w:szCs w:val="20"/>
                <w:lang w:val="en-US" w:eastAsia="zh-CN"/>
              </w:rPr>
            </w:pPr>
            <w:r>
              <w:rPr>
                <w:rFonts w:hint="eastAsia" w:ascii="Times New Roman" w:hAnsi="Times New Roman" w:eastAsia="宋体" w:cs="Times New Roman"/>
                <w:color w:val="000000"/>
                <w:kern w:val="0"/>
                <w:sz w:val="20"/>
                <w:szCs w:val="20"/>
                <w:lang w:val="en-US" w:eastAsia="zh-CN"/>
              </w:rPr>
              <w:t>3.6</w:t>
            </w:r>
            <w:r>
              <w:rPr>
                <w:rFonts w:hint="eastAsia" w:ascii="宋体" w:hAnsi="宋体" w:eastAsia="宋体" w:cs="宋体"/>
                <w:color w:val="000000"/>
                <w:kern w:val="0"/>
                <w:sz w:val="20"/>
                <w:szCs w:val="20"/>
                <w:lang w:val="en-US" w:eastAsia="zh-CN"/>
              </w:rPr>
              <w:t>万元</w:t>
            </w:r>
          </w:p>
        </w:tc>
      </w:tr>
      <w:tr w14:paraId="3CF9D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113BA485">
            <w:pPr>
              <w:jc w:val="center"/>
              <w:rPr>
                <w:rFonts w:ascii="宋体" w:cs="宋体"/>
                <w:sz w:val="20"/>
              </w:rPr>
            </w:pPr>
          </w:p>
        </w:tc>
        <w:tc>
          <w:tcPr>
            <w:tcW w:w="3349" w:type="dxa"/>
            <w:gridSpan w:val="2"/>
            <w:tcBorders>
              <w:tl2br w:val="nil"/>
              <w:tr2bl w:val="nil"/>
            </w:tcBorders>
            <w:vAlign w:val="center"/>
          </w:tcPr>
          <w:p w14:paraId="269967BF">
            <w:pPr>
              <w:widowControl/>
              <w:jc w:val="left"/>
              <w:textAlignment w:val="center"/>
              <w:rPr>
                <w:rFonts w:ascii="宋体" w:cs="宋体"/>
                <w:sz w:val="20"/>
              </w:rPr>
            </w:pPr>
            <w:r>
              <w:rPr>
                <w:rFonts w:hint="eastAsia" w:ascii="宋体" w:hAnsi="宋体" w:eastAsia="宋体" w:cs="宋体"/>
                <w:color w:val="000000"/>
                <w:kern w:val="0"/>
                <w:sz w:val="20"/>
                <w:szCs w:val="20"/>
              </w:rPr>
              <w:t xml:space="preserve">         上年结转</w:t>
            </w:r>
          </w:p>
        </w:tc>
        <w:tc>
          <w:tcPr>
            <w:tcW w:w="4228" w:type="dxa"/>
            <w:gridSpan w:val="2"/>
            <w:tcBorders>
              <w:tl2br w:val="nil"/>
              <w:tr2bl w:val="nil"/>
            </w:tcBorders>
            <w:vAlign w:val="center"/>
          </w:tcPr>
          <w:p w14:paraId="637B94E6">
            <w:pPr>
              <w:jc w:val="center"/>
              <w:rPr>
                <w:rFonts w:ascii="宋体" w:cs="宋体"/>
                <w:sz w:val="20"/>
              </w:rPr>
            </w:pPr>
          </w:p>
        </w:tc>
      </w:tr>
      <w:tr w14:paraId="180ED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7C53D771">
            <w:pPr>
              <w:jc w:val="center"/>
              <w:rPr>
                <w:rFonts w:ascii="宋体" w:cs="宋体"/>
                <w:sz w:val="20"/>
              </w:rPr>
            </w:pPr>
          </w:p>
        </w:tc>
        <w:tc>
          <w:tcPr>
            <w:tcW w:w="3349" w:type="dxa"/>
            <w:gridSpan w:val="2"/>
            <w:tcBorders>
              <w:tl2br w:val="nil"/>
              <w:tr2bl w:val="nil"/>
            </w:tcBorders>
            <w:vAlign w:val="center"/>
          </w:tcPr>
          <w:p w14:paraId="75976112">
            <w:pPr>
              <w:widowControl/>
              <w:jc w:val="left"/>
              <w:textAlignment w:val="center"/>
              <w:rPr>
                <w:rFonts w:ascii="宋体" w:cs="宋体"/>
                <w:sz w:val="20"/>
              </w:rPr>
            </w:pPr>
            <w:r>
              <w:rPr>
                <w:rFonts w:hint="eastAsia" w:ascii="宋体" w:hAnsi="宋体" w:eastAsia="宋体" w:cs="宋体"/>
                <w:color w:val="000000"/>
                <w:kern w:val="0"/>
                <w:sz w:val="20"/>
                <w:szCs w:val="20"/>
              </w:rPr>
              <w:t xml:space="preserve">         其他资金</w:t>
            </w:r>
          </w:p>
        </w:tc>
        <w:tc>
          <w:tcPr>
            <w:tcW w:w="4228" w:type="dxa"/>
            <w:gridSpan w:val="2"/>
            <w:tcBorders>
              <w:tl2br w:val="nil"/>
              <w:tr2bl w:val="nil"/>
            </w:tcBorders>
            <w:vAlign w:val="center"/>
          </w:tcPr>
          <w:p w14:paraId="01C1835C">
            <w:pPr>
              <w:jc w:val="right"/>
              <w:rPr>
                <w:rFonts w:ascii="宋体" w:cs="宋体"/>
                <w:sz w:val="20"/>
              </w:rPr>
            </w:pPr>
          </w:p>
        </w:tc>
      </w:tr>
      <w:tr w14:paraId="7089B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438" w:type="dxa"/>
            <w:tcBorders>
              <w:tl2br w:val="nil"/>
              <w:tr2bl w:val="nil"/>
            </w:tcBorders>
            <w:vAlign w:val="center"/>
          </w:tcPr>
          <w:p w14:paraId="368340BB">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年度</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目标</w:t>
            </w:r>
          </w:p>
        </w:tc>
        <w:tc>
          <w:tcPr>
            <w:tcW w:w="8582" w:type="dxa"/>
            <w:gridSpan w:val="6"/>
            <w:tcBorders>
              <w:tl2br w:val="nil"/>
              <w:tr2bl w:val="nil"/>
            </w:tcBorders>
            <w:vAlign w:val="center"/>
          </w:tcPr>
          <w:p w14:paraId="66F890BC">
            <w:pPr>
              <w:jc w:val="left"/>
              <w:rPr>
                <w:rFonts w:hint="eastAsia" w:ascii="宋体" w:cs="宋体"/>
                <w:sz w:val="20"/>
              </w:rPr>
            </w:pPr>
            <w:r>
              <w:rPr>
                <w:rFonts w:hint="default" w:ascii="Times New Roman" w:hAnsi="Times New Roman" w:cs="Times New Roman"/>
                <w:sz w:val="20"/>
              </w:rPr>
              <w:t>1</w:t>
            </w:r>
            <w:r>
              <w:rPr>
                <w:rFonts w:hint="eastAsia" w:ascii="宋体" w:cs="宋体"/>
                <w:sz w:val="20"/>
              </w:rPr>
              <w:t>、开展大篷车下乡活动，印制并发放科普资料</w:t>
            </w:r>
          </w:p>
          <w:p w14:paraId="244B7E5E">
            <w:pPr>
              <w:jc w:val="left"/>
              <w:rPr>
                <w:rFonts w:ascii="宋体" w:cs="宋体"/>
                <w:sz w:val="20"/>
              </w:rPr>
            </w:pPr>
            <w:r>
              <w:rPr>
                <w:rFonts w:hint="eastAsia" w:ascii="宋体" w:cs="宋体"/>
                <w:sz w:val="20"/>
              </w:rPr>
              <w:t xml:space="preserve"> </w:t>
            </w:r>
            <w:r>
              <w:rPr>
                <w:rFonts w:hint="default" w:ascii="Times New Roman" w:hAnsi="Times New Roman" w:cs="Times New Roman"/>
                <w:sz w:val="20"/>
              </w:rPr>
              <w:t>2</w:t>
            </w:r>
            <w:r>
              <w:rPr>
                <w:rFonts w:hint="eastAsia" w:ascii="宋体" w:cs="宋体"/>
                <w:sz w:val="20"/>
              </w:rPr>
              <w:t>、对大篷车及车上科普展品进行维护</w:t>
            </w:r>
          </w:p>
        </w:tc>
      </w:tr>
      <w:tr w14:paraId="57CFF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438" w:type="dxa"/>
            <w:vMerge w:val="restart"/>
            <w:tcBorders>
              <w:tl2br w:val="nil"/>
              <w:tr2bl w:val="nil"/>
            </w:tcBorders>
            <w:vAlign w:val="center"/>
          </w:tcPr>
          <w:p w14:paraId="1625BDA6">
            <w:pPr>
              <w:widowControl/>
              <w:jc w:val="center"/>
              <w:textAlignment w:val="center"/>
              <w:rPr>
                <w:rFonts w:ascii="宋体" w:cs="宋体"/>
                <w:sz w:val="20"/>
              </w:rPr>
            </w:pPr>
            <w:r>
              <w:rPr>
                <w:rFonts w:hint="eastAsia" w:ascii="宋体" w:hAnsi="宋体" w:eastAsia="宋体" w:cs="宋体"/>
                <w:color w:val="000000"/>
                <w:kern w:val="0"/>
                <w:sz w:val="20"/>
                <w:szCs w:val="20"/>
              </w:rPr>
              <w:t>绩</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效</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指</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标</w:t>
            </w:r>
          </w:p>
        </w:tc>
        <w:tc>
          <w:tcPr>
            <w:tcW w:w="723" w:type="dxa"/>
            <w:tcBorders>
              <w:tl2br w:val="nil"/>
              <w:tr2bl w:val="nil"/>
            </w:tcBorders>
            <w:vAlign w:val="center"/>
          </w:tcPr>
          <w:p w14:paraId="1018D078">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一级</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指标</w:t>
            </w:r>
          </w:p>
        </w:tc>
        <w:tc>
          <w:tcPr>
            <w:tcW w:w="759" w:type="dxa"/>
            <w:gridSpan w:val="2"/>
            <w:tcBorders>
              <w:tl2br w:val="nil"/>
              <w:tr2bl w:val="nil"/>
            </w:tcBorders>
            <w:vAlign w:val="center"/>
          </w:tcPr>
          <w:p w14:paraId="00FE82D6">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二级指标</w:t>
            </w:r>
          </w:p>
        </w:tc>
        <w:tc>
          <w:tcPr>
            <w:tcW w:w="2872" w:type="dxa"/>
            <w:tcBorders>
              <w:tl2br w:val="nil"/>
              <w:tr2bl w:val="nil"/>
            </w:tcBorders>
            <w:vAlign w:val="center"/>
          </w:tcPr>
          <w:p w14:paraId="70E10BBB">
            <w:pPr>
              <w:widowControl/>
              <w:jc w:val="center"/>
              <w:textAlignment w:val="center"/>
              <w:rPr>
                <w:rFonts w:ascii="宋体" w:cs="宋体"/>
                <w:sz w:val="20"/>
              </w:rPr>
            </w:pPr>
            <w:r>
              <w:rPr>
                <w:rFonts w:hint="eastAsia" w:ascii="宋体" w:hAnsi="宋体" w:eastAsia="宋体" w:cs="宋体"/>
                <w:color w:val="000000"/>
                <w:kern w:val="0"/>
                <w:sz w:val="20"/>
                <w:szCs w:val="20"/>
              </w:rPr>
              <w:t>三级指标</w:t>
            </w:r>
          </w:p>
        </w:tc>
        <w:tc>
          <w:tcPr>
            <w:tcW w:w="4228" w:type="dxa"/>
            <w:gridSpan w:val="2"/>
            <w:tcBorders>
              <w:tl2br w:val="nil"/>
              <w:tr2bl w:val="nil"/>
            </w:tcBorders>
            <w:vAlign w:val="center"/>
          </w:tcPr>
          <w:p w14:paraId="52776D36">
            <w:pPr>
              <w:widowControl/>
              <w:jc w:val="center"/>
              <w:textAlignment w:val="center"/>
              <w:rPr>
                <w:rFonts w:ascii="宋体" w:cs="宋体"/>
                <w:sz w:val="20"/>
              </w:rPr>
            </w:pPr>
            <w:r>
              <w:rPr>
                <w:rFonts w:hint="eastAsia" w:ascii="宋体" w:hAnsi="宋体" w:eastAsia="宋体" w:cs="宋体"/>
                <w:color w:val="000000"/>
                <w:kern w:val="0"/>
                <w:sz w:val="20"/>
                <w:szCs w:val="20"/>
              </w:rPr>
              <w:t>指标值</w:t>
            </w:r>
          </w:p>
        </w:tc>
      </w:tr>
      <w:tr w14:paraId="08B45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226579FA">
            <w:pPr>
              <w:jc w:val="center"/>
              <w:rPr>
                <w:rFonts w:ascii="宋体" w:cs="宋体"/>
                <w:sz w:val="20"/>
              </w:rPr>
            </w:pPr>
          </w:p>
        </w:tc>
        <w:tc>
          <w:tcPr>
            <w:tcW w:w="723" w:type="dxa"/>
            <w:vMerge w:val="restart"/>
            <w:tcBorders>
              <w:tl2br w:val="nil"/>
              <w:tr2bl w:val="nil"/>
            </w:tcBorders>
            <w:vAlign w:val="center"/>
          </w:tcPr>
          <w:p w14:paraId="0B9F5402">
            <w:pPr>
              <w:widowControl/>
              <w:jc w:val="center"/>
              <w:textAlignment w:val="center"/>
              <w:rPr>
                <w:rFonts w:ascii="宋体" w:cs="宋体"/>
                <w:sz w:val="20"/>
              </w:rPr>
            </w:pPr>
            <w:r>
              <w:rPr>
                <w:rFonts w:hint="eastAsia" w:ascii="宋体" w:hAnsi="宋体" w:eastAsia="宋体" w:cs="宋体"/>
                <w:color w:val="000000"/>
                <w:kern w:val="0"/>
                <w:sz w:val="20"/>
                <w:szCs w:val="20"/>
              </w:rPr>
              <w:t>产出指标</w:t>
            </w:r>
          </w:p>
        </w:tc>
        <w:tc>
          <w:tcPr>
            <w:tcW w:w="759" w:type="dxa"/>
            <w:gridSpan w:val="2"/>
            <w:vMerge w:val="restart"/>
            <w:tcBorders>
              <w:tl2br w:val="nil"/>
              <w:tr2bl w:val="nil"/>
            </w:tcBorders>
            <w:vAlign w:val="center"/>
          </w:tcPr>
          <w:p w14:paraId="5FCDB28A">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数量指标</w:t>
            </w:r>
          </w:p>
        </w:tc>
        <w:tc>
          <w:tcPr>
            <w:tcW w:w="2872" w:type="dxa"/>
            <w:tcBorders>
              <w:tl2br w:val="nil"/>
              <w:tr2bl w:val="nil"/>
            </w:tcBorders>
            <w:vAlign w:val="center"/>
          </w:tcPr>
          <w:p w14:paraId="59ADA6FC">
            <w:pPr>
              <w:widowControl/>
              <w:jc w:val="center"/>
              <w:textAlignment w:val="center"/>
              <w:rPr>
                <w:rFonts w:ascii="宋体" w:cs="宋体"/>
                <w:sz w:val="20"/>
              </w:rPr>
            </w:pP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开展大篷车下乡活动</w:t>
            </w:r>
          </w:p>
        </w:tc>
        <w:tc>
          <w:tcPr>
            <w:tcW w:w="4228" w:type="dxa"/>
            <w:gridSpan w:val="2"/>
            <w:tcBorders>
              <w:tl2br w:val="nil"/>
              <w:tr2bl w:val="nil"/>
            </w:tcBorders>
            <w:vAlign w:val="center"/>
          </w:tcPr>
          <w:p w14:paraId="571BEA25">
            <w:pPr>
              <w:widowControl/>
              <w:jc w:val="center"/>
              <w:textAlignment w:val="center"/>
              <w:rPr>
                <w:rFonts w:hint="eastAsia" w:ascii="宋体" w:hAnsi="宋体" w:eastAsia="宋体" w:cs="宋体"/>
                <w:color w:val="000000"/>
                <w:kern w:val="0"/>
                <w:sz w:val="20"/>
                <w:szCs w:val="20"/>
                <w:lang w:val="en-US" w:eastAsia="zh-CN"/>
              </w:rPr>
            </w:pPr>
            <w:r>
              <w:rPr>
                <w:rFonts w:hint="default" w:ascii="Times New Roman" w:hAnsi="Times New Roman" w:eastAsia="宋体" w:cs="Times New Roman"/>
                <w:color w:val="000000"/>
                <w:kern w:val="0"/>
                <w:sz w:val="20"/>
                <w:szCs w:val="20"/>
                <w:lang w:val="en-US" w:eastAsia="zh-CN"/>
              </w:rPr>
              <w:t>4</w:t>
            </w:r>
            <w:r>
              <w:rPr>
                <w:rFonts w:hint="eastAsia" w:ascii="宋体" w:hAnsi="宋体" w:eastAsia="宋体" w:cs="宋体"/>
                <w:color w:val="000000"/>
                <w:kern w:val="0"/>
                <w:sz w:val="20"/>
                <w:szCs w:val="20"/>
                <w:lang w:val="en-US" w:eastAsia="zh-CN"/>
              </w:rPr>
              <w:t>次</w:t>
            </w:r>
          </w:p>
        </w:tc>
      </w:tr>
      <w:tr w14:paraId="469B0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4D65FF24">
            <w:pPr>
              <w:jc w:val="center"/>
              <w:rPr>
                <w:rFonts w:ascii="宋体" w:cs="宋体"/>
                <w:sz w:val="20"/>
              </w:rPr>
            </w:pPr>
          </w:p>
        </w:tc>
        <w:tc>
          <w:tcPr>
            <w:tcW w:w="723" w:type="dxa"/>
            <w:vMerge w:val="continue"/>
            <w:tcBorders>
              <w:tl2br w:val="nil"/>
              <w:tr2bl w:val="nil"/>
            </w:tcBorders>
            <w:vAlign w:val="center"/>
          </w:tcPr>
          <w:p w14:paraId="05E09E62">
            <w:pPr>
              <w:jc w:val="center"/>
              <w:rPr>
                <w:rFonts w:ascii="宋体" w:cs="宋体"/>
                <w:sz w:val="20"/>
              </w:rPr>
            </w:pPr>
          </w:p>
        </w:tc>
        <w:tc>
          <w:tcPr>
            <w:tcW w:w="759" w:type="dxa"/>
            <w:gridSpan w:val="2"/>
            <w:vMerge w:val="continue"/>
            <w:tcBorders>
              <w:tl2br w:val="nil"/>
              <w:tr2bl w:val="nil"/>
            </w:tcBorders>
            <w:vAlign w:val="center"/>
          </w:tcPr>
          <w:p w14:paraId="2B21316C">
            <w:pPr>
              <w:jc w:val="center"/>
              <w:rPr>
                <w:rFonts w:ascii="宋体" w:cs="宋体"/>
                <w:sz w:val="20"/>
              </w:rPr>
            </w:pPr>
          </w:p>
        </w:tc>
        <w:tc>
          <w:tcPr>
            <w:tcW w:w="2872" w:type="dxa"/>
            <w:tcBorders>
              <w:tl2br w:val="nil"/>
              <w:tr2bl w:val="nil"/>
            </w:tcBorders>
            <w:vAlign w:val="center"/>
          </w:tcPr>
          <w:p w14:paraId="4995907D">
            <w:pPr>
              <w:widowControl/>
              <w:jc w:val="center"/>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发放科普宣传手册、科普图书</w:t>
            </w:r>
          </w:p>
        </w:tc>
        <w:tc>
          <w:tcPr>
            <w:tcW w:w="4228" w:type="dxa"/>
            <w:gridSpan w:val="2"/>
            <w:tcBorders>
              <w:tl2br w:val="nil"/>
              <w:tr2bl w:val="nil"/>
            </w:tcBorders>
            <w:vAlign w:val="center"/>
          </w:tcPr>
          <w:p w14:paraId="46CA7D1A">
            <w:pPr>
              <w:widowControl/>
              <w:jc w:val="center"/>
              <w:textAlignment w:val="center"/>
              <w:rPr>
                <w:rFonts w:hint="default" w:ascii="宋体" w:hAnsi="宋体" w:eastAsia="宋体" w:cs="宋体"/>
                <w:color w:val="000000"/>
                <w:kern w:val="0"/>
                <w:sz w:val="20"/>
                <w:szCs w:val="20"/>
                <w:lang w:val="en-US" w:eastAsia="zh-CN"/>
              </w:rPr>
            </w:pPr>
            <w:r>
              <w:rPr>
                <w:rFonts w:hint="default" w:ascii="Times New Roman" w:hAnsi="Times New Roman" w:eastAsia="宋体" w:cs="Times New Roman"/>
                <w:color w:val="000000"/>
                <w:kern w:val="0"/>
                <w:sz w:val="20"/>
                <w:szCs w:val="20"/>
                <w:lang w:val="en-US" w:eastAsia="zh-CN"/>
              </w:rPr>
              <w:t>4</w:t>
            </w:r>
            <w:r>
              <w:rPr>
                <w:rFonts w:hint="eastAsia" w:ascii="宋体" w:hAnsi="宋体" w:eastAsia="宋体" w:cs="宋体"/>
                <w:color w:val="000000"/>
                <w:kern w:val="0"/>
                <w:sz w:val="20"/>
                <w:szCs w:val="20"/>
                <w:lang w:val="en-US" w:eastAsia="zh-CN"/>
              </w:rPr>
              <w:t>次</w:t>
            </w:r>
          </w:p>
        </w:tc>
      </w:tr>
      <w:tr w14:paraId="6DE57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00D842D4">
            <w:pPr>
              <w:jc w:val="center"/>
              <w:rPr>
                <w:rFonts w:ascii="宋体" w:cs="宋体"/>
                <w:sz w:val="20"/>
              </w:rPr>
            </w:pPr>
          </w:p>
        </w:tc>
        <w:tc>
          <w:tcPr>
            <w:tcW w:w="723" w:type="dxa"/>
            <w:vMerge w:val="continue"/>
            <w:tcBorders>
              <w:tl2br w:val="nil"/>
              <w:tr2bl w:val="nil"/>
            </w:tcBorders>
            <w:vAlign w:val="center"/>
          </w:tcPr>
          <w:p w14:paraId="1376449B">
            <w:pPr>
              <w:jc w:val="center"/>
              <w:rPr>
                <w:rFonts w:ascii="宋体" w:cs="宋体"/>
                <w:sz w:val="20"/>
              </w:rPr>
            </w:pPr>
          </w:p>
        </w:tc>
        <w:tc>
          <w:tcPr>
            <w:tcW w:w="759" w:type="dxa"/>
            <w:gridSpan w:val="2"/>
            <w:vMerge w:val="continue"/>
            <w:tcBorders>
              <w:tl2br w:val="nil"/>
              <w:tr2bl w:val="nil"/>
            </w:tcBorders>
            <w:vAlign w:val="center"/>
          </w:tcPr>
          <w:p w14:paraId="75C3800D">
            <w:pPr>
              <w:jc w:val="center"/>
              <w:rPr>
                <w:rFonts w:ascii="宋体" w:cs="宋体"/>
                <w:sz w:val="20"/>
              </w:rPr>
            </w:pPr>
          </w:p>
        </w:tc>
        <w:tc>
          <w:tcPr>
            <w:tcW w:w="2872" w:type="dxa"/>
            <w:tcBorders>
              <w:tl2br w:val="nil"/>
              <w:tr2bl w:val="nil"/>
            </w:tcBorders>
            <w:vAlign w:val="center"/>
          </w:tcPr>
          <w:p w14:paraId="03DDA0AB">
            <w:pPr>
              <w:widowControl/>
              <w:jc w:val="center"/>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大篷车进社区</w:t>
            </w:r>
          </w:p>
        </w:tc>
        <w:tc>
          <w:tcPr>
            <w:tcW w:w="4228" w:type="dxa"/>
            <w:gridSpan w:val="2"/>
            <w:tcBorders>
              <w:tl2br w:val="nil"/>
              <w:tr2bl w:val="nil"/>
            </w:tcBorders>
            <w:vAlign w:val="center"/>
          </w:tcPr>
          <w:p w14:paraId="46528822">
            <w:pPr>
              <w:widowControl/>
              <w:jc w:val="center"/>
              <w:textAlignment w:val="center"/>
              <w:rPr>
                <w:rFonts w:hint="eastAsia" w:ascii="宋体" w:hAnsi="宋体" w:eastAsia="宋体" w:cs="宋体"/>
                <w:color w:val="000000"/>
                <w:kern w:val="0"/>
                <w:sz w:val="20"/>
                <w:szCs w:val="20"/>
                <w:lang w:val="en-US" w:eastAsia="zh-CN"/>
              </w:rPr>
            </w:pPr>
            <w:r>
              <w:rPr>
                <w:rFonts w:hint="default" w:ascii="Times New Roman" w:hAnsi="Times New Roman" w:eastAsia="宋体" w:cs="Times New Roman"/>
                <w:color w:val="000000"/>
                <w:kern w:val="0"/>
                <w:sz w:val="20"/>
                <w:szCs w:val="20"/>
                <w:lang w:val="en-US" w:eastAsia="zh-CN"/>
              </w:rPr>
              <w:t>4</w:t>
            </w:r>
            <w:r>
              <w:rPr>
                <w:rFonts w:hint="eastAsia" w:ascii="宋体" w:hAnsi="宋体" w:eastAsia="宋体" w:cs="宋体"/>
                <w:color w:val="000000"/>
                <w:kern w:val="0"/>
                <w:sz w:val="20"/>
                <w:szCs w:val="20"/>
                <w:lang w:val="en-US" w:eastAsia="zh-CN"/>
              </w:rPr>
              <w:t>次</w:t>
            </w:r>
          </w:p>
        </w:tc>
      </w:tr>
      <w:tr w14:paraId="71847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60A7DB6E">
            <w:pPr>
              <w:jc w:val="center"/>
              <w:rPr>
                <w:rFonts w:ascii="宋体" w:cs="宋体"/>
                <w:sz w:val="20"/>
              </w:rPr>
            </w:pPr>
          </w:p>
        </w:tc>
        <w:tc>
          <w:tcPr>
            <w:tcW w:w="723" w:type="dxa"/>
            <w:vMerge w:val="continue"/>
            <w:tcBorders>
              <w:tl2br w:val="nil"/>
              <w:tr2bl w:val="nil"/>
            </w:tcBorders>
            <w:vAlign w:val="center"/>
          </w:tcPr>
          <w:p w14:paraId="21B4224A">
            <w:pPr>
              <w:jc w:val="center"/>
              <w:rPr>
                <w:rFonts w:ascii="宋体" w:cs="宋体"/>
                <w:sz w:val="20"/>
              </w:rPr>
            </w:pPr>
          </w:p>
        </w:tc>
        <w:tc>
          <w:tcPr>
            <w:tcW w:w="759" w:type="dxa"/>
            <w:gridSpan w:val="2"/>
            <w:tcBorders>
              <w:tl2br w:val="nil"/>
              <w:tr2bl w:val="nil"/>
            </w:tcBorders>
            <w:vAlign w:val="center"/>
          </w:tcPr>
          <w:p w14:paraId="5AB7A57E">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质量指标</w:t>
            </w:r>
          </w:p>
        </w:tc>
        <w:tc>
          <w:tcPr>
            <w:tcW w:w="2872" w:type="dxa"/>
            <w:tcBorders>
              <w:tl2br w:val="nil"/>
              <w:tr2bl w:val="nil"/>
            </w:tcBorders>
            <w:vAlign w:val="center"/>
          </w:tcPr>
          <w:p w14:paraId="744CF50B">
            <w:pPr>
              <w:widowControl/>
              <w:jc w:val="center"/>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资金支出合规性</w:t>
            </w:r>
          </w:p>
        </w:tc>
        <w:tc>
          <w:tcPr>
            <w:tcW w:w="4228" w:type="dxa"/>
            <w:gridSpan w:val="2"/>
            <w:tcBorders>
              <w:tl2br w:val="nil"/>
              <w:tr2bl w:val="nil"/>
            </w:tcBorders>
            <w:vAlign w:val="center"/>
          </w:tcPr>
          <w:p w14:paraId="66FD8EA8">
            <w:pPr>
              <w:widowControl/>
              <w:jc w:val="center"/>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合规</w:t>
            </w:r>
          </w:p>
        </w:tc>
      </w:tr>
      <w:tr w14:paraId="42CEA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6555D955">
            <w:pPr>
              <w:jc w:val="center"/>
              <w:rPr>
                <w:rFonts w:ascii="宋体" w:cs="宋体"/>
                <w:sz w:val="20"/>
              </w:rPr>
            </w:pPr>
          </w:p>
        </w:tc>
        <w:tc>
          <w:tcPr>
            <w:tcW w:w="723" w:type="dxa"/>
            <w:vMerge w:val="continue"/>
            <w:tcBorders>
              <w:tl2br w:val="nil"/>
              <w:tr2bl w:val="nil"/>
            </w:tcBorders>
            <w:vAlign w:val="center"/>
          </w:tcPr>
          <w:p w14:paraId="40F61130">
            <w:pPr>
              <w:jc w:val="center"/>
              <w:rPr>
                <w:rFonts w:ascii="宋体" w:cs="宋体"/>
                <w:sz w:val="20"/>
              </w:rPr>
            </w:pPr>
          </w:p>
        </w:tc>
        <w:tc>
          <w:tcPr>
            <w:tcW w:w="759" w:type="dxa"/>
            <w:gridSpan w:val="2"/>
            <w:tcBorders>
              <w:tl2br w:val="nil"/>
              <w:tr2bl w:val="nil"/>
            </w:tcBorders>
            <w:vAlign w:val="center"/>
          </w:tcPr>
          <w:p w14:paraId="792ADCCD">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时效指标</w:t>
            </w:r>
          </w:p>
        </w:tc>
        <w:tc>
          <w:tcPr>
            <w:tcW w:w="2872" w:type="dxa"/>
            <w:tcBorders>
              <w:tl2br w:val="nil"/>
              <w:tr2bl w:val="nil"/>
            </w:tcBorders>
            <w:vAlign w:val="center"/>
          </w:tcPr>
          <w:p w14:paraId="6105D277">
            <w:pPr>
              <w:widowControl/>
              <w:jc w:val="center"/>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资金拨付及时性</w:t>
            </w:r>
          </w:p>
        </w:tc>
        <w:tc>
          <w:tcPr>
            <w:tcW w:w="4228" w:type="dxa"/>
            <w:gridSpan w:val="2"/>
            <w:tcBorders>
              <w:tl2br w:val="nil"/>
              <w:tr2bl w:val="nil"/>
            </w:tcBorders>
            <w:vAlign w:val="center"/>
          </w:tcPr>
          <w:p w14:paraId="149ED6ED">
            <w:pPr>
              <w:widowControl/>
              <w:jc w:val="center"/>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及时</w:t>
            </w:r>
          </w:p>
        </w:tc>
      </w:tr>
      <w:tr w14:paraId="7A17F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7E3B3FE2">
            <w:pPr>
              <w:jc w:val="center"/>
              <w:rPr>
                <w:rFonts w:ascii="宋体" w:cs="宋体"/>
                <w:sz w:val="20"/>
              </w:rPr>
            </w:pPr>
          </w:p>
        </w:tc>
        <w:tc>
          <w:tcPr>
            <w:tcW w:w="723" w:type="dxa"/>
            <w:vMerge w:val="continue"/>
            <w:tcBorders>
              <w:tl2br w:val="nil"/>
              <w:tr2bl w:val="nil"/>
            </w:tcBorders>
            <w:vAlign w:val="center"/>
          </w:tcPr>
          <w:p w14:paraId="5EAFE3C7">
            <w:pPr>
              <w:jc w:val="center"/>
              <w:rPr>
                <w:rFonts w:ascii="宋体" w:cs="宋体"/>
                <w:sz w:val="20"/>
              </w:rPr>
            </w:pPr>
          </w:p>
        </w:tc>
        <w:tc>
          <w:tcPr>
            <w:tcW w:w="759" w:type="dxa"/>
            <w:gridSpan w:val="2"/>
            <w:tcBorders>
              <w:tl2br w:val="nil"/>
              <w:tr2bl w:val="nil"/>
            </w:tcBorders>
            <w:vAlign w:val="center"/>
          </w:tcPr>
          <w:p w14:paraId="09EE8588">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成本指标</w:t>
            </w:r>
          </w:p>
        </w:tc>
        <w:tc>
          <w:tcPr>
            <w:tcW w:w="2872" w:type="dxa"/>
            <w:tcBorders>
              <w:tl2br w:val="nil"/>
              <w:tr2bl w:val="nil"/>
            </w:tcBorders>
            <w:vAlign w:val="center"/>
          </w:tcPr>
          <w:p w14:paraId="3F2C8164">
            <w:pPr>
              <w:widowControl/>
              <w:jc w:val="center"/>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成本控制在预算内</w:t>
            </w:r>
          </w:p>
        </w:tc>
        <w:tc>
          <w:tcPr>
            <w:tcW w:w="4228" w:type="dxa"/>
            <w:gridSpan w:val="2"/>
            <w:tcBorders>
              <w:tl2br w:val="nil"/>
              <w:tr2bl w:val="nil"/>
            </w:tcBorders>
            <w:vAlign w:val="center"/>
          </w:tcPr>
          <w:p w14:paraId="600F86BA">
            <w:pPr>
              <w:widowControl/>
              <w:jc w:val="center"/>
              <w:textAlignment w:val="center"/>
              <w:rPr>
                <w:rFonts w:hint="eastAsia" w:ascii="宋体" w:hAnsi="宋体" w:eastAsia="宋体" w:cs="宋体"/>
                <w:color w:val="000000"/>
                <w:kern w:val="0"/>
                <w:sz w:val="20"/>
                <w:szCs w:val="20"/>
                <w:lang w:val="en-US" w:eastAsia="zh-CN"/>
              </w:rPr>
            </w:pPr>
            <w:r>
              <w:rPr>
                <w:rFonts w:hint="eastAsia" w:ascii="Times New Roman" w:hAnsi="Times New Roman" w:eastAsia="宋体" w:cs="Times New Roman"/>
                <w:color w:val="000000"/>
                <w:kern w:val="0"/>
                <w:sz w:val="20"/>
                <w:szCs w:val="20"/>
                <w:lang w:val="en-US" w:eastAsia="zh-CN"/>
              </w:rPr>
              <w:t>36000</w:t>
            </w:r>
            <w:r>
              <w:rPr>
                <w:rFonts w:hint="eastAsia" w:ascii="宋体" w:hAnsi="宋体" w:eastAsia="宋体" w:cs="宋体"/>
                <w:color w:val="000000"/>
                <w:kern w:val="0"/>
                <w:sz w:val="20"/>
                <w:szCs w:val="20"/>
                <w:lang w:val="en-US" w:eastAsia="zh-CN"/>
              </w:rPr>
              <w:t>元</w:t>
            </w:r>
          </w:p>
        </w:tc>
      </w:tr>
      <w:tr w14:paraId="34770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7B534449">
            <w:pPr>
              <w:jc w:val="center"/>
              <w:rPr>
                <w:rFonts w:ascii="宋体" w:cs="宋体"/>
                <w:sz w:val="20"/>
              </w:rPr>
            </w:pPr>
          </w:p>
        </w:tc>
        <w:tc>
          <w:tcPr>
            <w:tcW w:w="723" w:type="dxa"/>
            <w:vMerge w:val="restart"/>
            <w:tcBorders>
              <w:tl2br w:val="nil"/>
              <w:tr2bl w:val="nil"/>
            </w:tcBorders>
            <w:vAlign w:val="center"/>
          </w:tcPr>
          <w:p w14:paraId="63F4063B">
            <w:pPr>
              <w:widowControl/>
              <w:jc w:val="center"/>
              <w:textAlignment w:val="center"/>
              <w:rPr>
                <w:rFonts w:ascii="宋体" w:cs="宋体"/>
                <w:sz w:val="20"/>
              </w:rPr>
            </w:pPr>
            <w:r>
              <w:rPr>
                <w:rFonts w:hint="eastAsia" w:ascii="宋体" w:hAnsi="宋体" w:eastAsia="宋体" w:cs="宋体"/>
                <w:color w:val="000000"/>
                <w:kern w:val="0"/>
                <w:sz w:val="20"/>
                <w:szCs w:val="20"/>
              </w:rPr>
              <w:t>效益指标</w:t>
            </w:r>
          </w:p>
        </w:tc>
        <w:tc>
          <w:tcPr>
            <w:tcW w:w="759" w:type="dxa"/>
            <w:gridSpan w:val="2"/>
            <w:tcBorders>
              <w:tl2br w:val="nil"/>
              <w:tr2bl w:val="nil"/>
            </w:tcBorders>
            <w:vAlign w:val="center"/>
          </w:tcPr>
          <w:p w14:paraId="4495D190">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经济效益指标</w:t>
            </w:r>
          </w:p>
        </w:tc>
        <w:tc>
          <w:tcPr>
            <w:tcW w:w="2872" w:type="dxa"/>
            <w:tcBorders>
              <w:tl2br w:val="nil"/>
              <w:tr2bl w:val="nil"/>
            </w:tcBorders>
            <w:vAlign w:val="center"/>
          </w:tcPr>
          <w:p w14:paraId="086C28D7">
            <w:pPr>
              <w:widowControl/>
              <w:jc w:val="center"/>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促进偏远地区经济发展</w:t>
            </w:r>
          </w:p>
        </w:tc>
        <w:tc>
          <w:tcPr>
            <w:tcW w:w="4228" w:type="dxa"/>
            <w:gridSpan w:val="2"/>
            <w:tcBorders>
              <w:tl2br w:val="nil"/>
              <w:tr2bl w:val="nil"/>
            </w:tcBorders>
            <w:vAlign w:val="center"/>
          </w:tcPr>
          <w:p w14:paraId="16F6D296">
            <w:pPr>
              <w:widowControl/>
              <w:jc w:val="center"/>
              <w:textAlignment w:val="center"/>
              <w:rPr>
                <w:rFonts w:hint="eastAsia" w:ascii="宋体" w:hAnsi="宋体" w:eastAsia="宋体" w:cs="宋体"/>
                <w:color w:val="000000"/>
                <w:kern w:val="0"/>
                <w:sz w:val="20"/>
                <w:szCs w:val="20"/>
              </w:rPr>
            </w:pPr>
            <w:r>
              <w:rPr>
                <w:rFonts w:ascii="宋体" w:hAnsi="宋体" w:eastAsia="宋体" w:cs="宋体"/>
                <w:sz w:val="24"/>
                <w:szCs w:val="24"/>
              </w:rPr>
              <w:br w:type="textWrapping"/>
            </w:r>
            <w:r>
              <w:rPr>
                <w:rFonts w:ascii="Helvetica" w:hAnsi="Helvetica" w:eastAsia="Helvetica" w:cs="Helvetica"/>
                <w:i w:val="0"/>
                <w:iCs w:val="0"/>
                <w:caps w:val="0"/>
                <w:color w:val="333333"/>
                <w:spacing w:val="0"/>
                <w:sz w:val="13"/>
                <w:szCs w:val="13"/>
                <w:shd w:val="clear" w:fill="F2F2F2"/>
              </w:rPr>
              <w:t>效果显著</w:t>
            </w:r>
          </w:p>
        </w:tc>
      </w:tr>
      <w:tr w14:paraId="72491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0F147999">
            <w:pPr>
              <w:jc w:val="center"/>
              <w:rPr>
                <w:rFonts w:ascii="宋体" w:cs="宋体"/>
                <w:sz w:val="20"/>
              </w:rPr>
            </w:pPr>
          </w:p>
        </w:tc>
        <w:tc>
          <w:tcPr>
            <w:tcW w:w="723" w:type="dxa"/>
            <w:vMerge w:val="continue"/>
            <w:tcBorders>
              <w:tl2br w:val="nil"/>
              <w:tr2bl w:val="nil"/>
            </w:tcBorders>
            <w:vAlign w:val="center"/>
          </w:tcPr>
          <w:p w14:paraId="16C91FF5">
            <w:pPr>
              <w:jc w:val="center"/>
              <w:rPr>
                <w:rFonts w:ascii="宋体" w:cs="宋体"/>
                <w:sz w:val="20"/>
              </w:rPr>
            </w:pPr>
          </w:p>
        </w:tc>
        <w:tc>
          <w:tcPr>
            <w:tcW w:w="759" w:type="dxa"/>
            <w:gridSpan w:val="2"/>
            <w:tcBorders>
              <w:tl2br w:val="nil"/>
              <w:tr2bl w:val="nil"/>
            </w:tcBorders>
            <w:vAlign w:val="center"/>
          </w:tcPr>
          <w:p w14:paraId="1E323F5A">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社会效益指标</w:t>
            </w:r>
          </w:p>
        </w:tc>
        <w:tc>
          <w:tcPr>
            <w:tcW w:w="2872" w:type="dxa"/>
            <w:tcBorders>
              <w:tl2br w:val="nil"/>
              <w:tr2bl w:val="nil"/>
            </w:tcBorders>
            <w:vAlign w:val="center"/>
          </w:tcPr>
          <w:p w14:paraId="6BA929FF">
            <w:pPr>
              <w:widowControl/>
              <w:jc w:val="center"/>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对公众参与科普机会、基层科普服务均等化的影响</w:t>
            </w:r>
          </w:p>
        </w:tc>
        <w:tc>
          <w:tcPr>
            <w:tcW w:w="4228" w:type="dxa"/>
            <w:gridSpan w:val="2"/>
            <w:tcBorders>
              <w:tl2br w:val="nil"/>
              <w:tr2bl w:val="nil"/>
            </w:tcBorders>
            <w:vAlign w:val="center"/>
          </w:tcPr>
          <w:p w14:paraId="2FB0CD80">
            <w:pPr>
              <w:widowControl/>
              <w:jc w:val="center"/>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效果显著</w:t>
            </w:r>
          </w:p>
        </w:tc>
      </w:tr>
      <w:tr w14:paraId="7008E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79CB64BC">
            <w:pPr>
              <w:jc w:val="center"/>
              <w:rPr>
                <w:rFonts w:ascii="宋体" w:cs="宋体"/>
                <w:sz w:val="20"/>
              </w:rPr>
            </w:pPr>
          </w:p>
        </w:tc>
        <w:tc>
          <w:tcPr>
            <w:tcW w:w="723" w:type="dxa"/>
            <w:vMerge w:val="continue"/>
            <w:tcBorders>
              <w:tl2br w:val="nil"/>
              <w:tr2bl w:val="nil"/>
            </w:tcBorders>
            <w:vAlign w:val="center"/>
          </w:tcPr>
          <w:p w14:paraId="5E474520">
            <w:pPr>
              <w:jc w:val="center"/>
              <w:rPr>
                <w:rFonts w:ascii="宋体" w:cs="宋体"/>
                <w:sz w:val="20"/>
              </w:rPr>
            </w:pPr>
          </w:p>
        </w:tc>
        <w:tc>
          <w:tcPr>
            <w:tcW w:w="759" w:type="dxa"/>
            <w:gridSpan w:val="2"/>
            <w:tcBorders>
              <w:tl2br w:val="nil"/>
              <w:tr2bl w:val="nil"/>
            </w:tcBorders>
            <w:vAlign w:val="center"/>
          </w:tcPr>
          <w:p w14:paraId="7B9DD697">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生态效益指标</w:t>
            </w:r>
          </w:p>
        </w:tc>
        <w:tc>
          <w:tcPr>
            <w:tcW w:w="2872" w:type="dxa"/>
            <w:tcBorders>
              <w:tl2br w:val="nil"/>
              <w:tr2bl w:val="nil"/>
            </w:tcBorders>
            <w:vAlign w:val="center"/>
          </w:tcPr>
          <w:p w14:paraId="66941614">
            <w:pPr>
              <w:widowControl/>
              <w:jc w:val="center"/>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公民环保理念提升的程度</w:t>
            </w:r>
          </w:p>
        </w:tc>
        <w:tc>
          <w:tcPr>
            <w:tcW w:w="4228" w:type="dxa"/>
            <w:gridSpan w:val="2"/>
            <w:tcBorders>
              <w:tl2br w:val="nil"/>
              <w:tr2bl w:val="nil"/>
            </w:tcBorders>
            <w:vAlign w:val="center"/>
          </w:tcPr>
          <w:p w14:paraId="3BF9B055">
            <w:pPr>
              <w:widowControl/>
              <w:jc w:val="center"/>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效果显著</w:t>
            </w:r>
          </w:p>
        </w:tc>
      </w:tr>
      <w:tr w14:paraId="3E11B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438" w:type="dxa"/>
            <w:vMerge w:val="continue"/>
            <w:tcBorders>
              <w:tl2br w:val="nil"/>
              <w:tr2bl w:val="nil"/>
            </w:tcBorders>
            <w:vAlign w:val="center"/>
          </w:tcPr>
          <w:p w14:paraId="1D0B838B">
            <w:pPr>
              <w:jc w:val="center"/>
              <w:rPr>
                <w:rFonts w:ascii="宋体" w:cs="宋体"/>
                <w:sz w:val="20"/>
              </w:rPr>
            </w:pPr>
          </w:p>
        </w:tc>
        <w:tc>
          <w:tcPr>
            <w:tcW w:w="723" w:type="dxa"/>
            <w:vMerge w:val="continue"/>
            <w:tcBorders>
              <w:tl2br w:val="nil"/>
              <w:tr2bl w:val="nil"/>
            </w:tcBorders>
            <w:vAlign w:val="center"/>
          </w:tcPr>
          <w:p w14:paraId="178676BF">
            <w:pPr>
              <w:jc w:val="center"/>
              <w:rPr>
                <w:rFonts w:ascii="宋体" w:cs="宋体"/>
                <w:sz w:val="20"/>
              </w:rPr>
            </w:pPr>
          </w:p>
        </w:tc>
        <w:tc>
          <w:tcPr>
            <w:tcW w:w="759" w:type="dxa"/>
            <w:gridSpan w:val="2"/>
            <w:vMerge w:val="restart"/>
            <w:tcBorders>
              <w:tl2br w:val="nil"/>
              <w:tr2bl w:val="nil"/>
            </w:tcBorders>
            <w:vAlign w:val="center"/>
          </w:tcPr>
          <w:p w14:paraId="0159534B">
            <w:pPr>
              <w:widowControl/>
              <w:spacing w:line="200" w:lineRule="exact"/>
              <w:jc w:val="center"/>
              <w:rPr>
                <w:rFonts w:ascii="宋体" w:hAnsi="宋体" w:eastAsia="宋体" w:cs="宋体"/>
                <w:sz w:val="20"/>
              </w:rPr>
            </w:pPr>
            <w:r>
              <w:rPr>
                <w:rFonts w:hint="eastAsia" w:ascii="宋体" w:hAnsi="宋体" w:eastAsia="宋体" w:cs="宋体"/>
                <w:sz w:val="20"/>
              </w:rPr>
              <w:t>可持续影响指标</w:t>
            </w:r>
          </w:p>
        </w:tc>
        <w:tc>
          <w:tcPr>
            <w:tcW w:w="2872" w:type="dxa"/>
            <w:tcBorders>
              <w:tl2br w:val="nil"/>
              <w:tr2bl w:val="nil"/>
            </w:tcBorders>
            <w:vAlign w:val="center"/>
          </w:tcPr>
          <w:p w14:paraId="46DC4B23">
            <w:pPr>
              <w:widowControl/>
              <w:jc w:val="center"/>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缓解城乡科普不均衡的现象</w:t>
            </w:r>
          </w:p>
        </w:tc>
        <w:tc>
          <w:tcPr>
            <w:tcW w:w="4228" w:type="dxa"/>
            <w:gridSpan w:val="2"/>
            <w:tcBorders>
              <w:tl2br w:val="nil"/>
              <w:tr2bl w:val="nil"/>
            </w:tcBorders>
            <w:vAlign w:val="center"/>
          </w:tcPr>
          <w:p w14:paraId="4DD4B173">
            <w:pPr>
              <w:widowControl/>
              <w:jc w:val="center"/>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效果显著</w:t>
            </w:r>
          </w:p>
        </w:tc>
      </w:tr>
      <w:tr w14:paraId="396A6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438" w:type="dxa"/>
            <w:vMerge w:val="continue"/>
            <w:tcBorders>
              <w:tl2br w:val="nil"/>
              <w:tr2bl w:val="nil"/>
            </w:tcBorders>
            <w:vAlign w:val="center"/>
          </w:tcPr>
          <w:p w14:paraId="5F8EDFEF">
            <w:pPr>
              <w:jc w:val="center"/>
              <w:rPr>
                <w:rFonts w:ascii="宋体" w:cs="宋体"/>
                <w:sz w:val="20"/>
              </w:rPr>
            </w:pPr>
          </w:p>
        </w:tc>
        <w:tc>
          <w:tcPr>
            <w:tcW w:w="723" w:type="dxa"/>
            <w:vMerge w:val="continue"/>
            <w:tcBorders>
              <w:tl2br w:val="nil"/>
              <w:tr2bl w:val="nil"/>
            </w:tcBorders>
            <w:vAlign w:val="center"/>
          </w:tcPr>
          <w:p w14:paraId="2F1F0420">
            <w:pPr>
              <w:jc w:val="center"/>
              <w:rPr>
                <w:rFonts w:ascii="宋体" w:cs="宋体"/>
                <w:sz w:val="20"/>
              </w:rPr>
            </w:pPr>
          </w:p>
        </w:tc>
        <w:tc>
          <w:tcPr>
            <w:tcW w:w="759" w:type="dxa"/>
            <w:gridSpan w:val="2"/>
            <w:vMerge w:val="continue"/>
            <w:tcBorders>
              <w:tl2br w:val="nil"/>
              <w:tr2bl w:val="nil"/>
            </w:tcBorders>
            <w:vAlign w:val="center"/>
          </w:tcPr>
          <w:p w14:paraId="2D68FD32">
            <w:pPr>
              <w:jc w:val="center"/>
              <w:rPr>
                <w:rFonts w:ascii="宋体" w:hAnsi="宋体" w:eastAsia="宋体" w:cs="宋体"/>
                <w:sz w:val="20"/>
              </w:rPr>
            </w:pPr>
          </w:p>
        </w:tc>
        <w:tc>
          <w:tcPr>
            <w:tcW w:w="2872" w:type="dxa"/>
            <w:tcBorders>
              <w:tl2br w:val="nil"/>
              <w:tr2bl w:val="nil"/>
            </w:tcBorders>
            <w:vAlign w:val="center"/>
          </w:tcPr>
          <w:p w14:paraId="28E74C94">
            <w:pPr>
              <w:widowControl/>
              <w:jc w:val="center"/>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提升全民科学素质</w:t>
            </w:r>
          </w:p>
        </w:tc>
        <w:tc>
          <w:tcPr>
            <w:tcW w:w="4228" w:type="dxa"/>
            <w:gridSpan w:val="2"/>
            <w:tcBorders>
              <w:tl2br w:val="nil"/>
              <w:tr2bl w:val="nil"/>
            </w:tcBorders>
            <w:vAlign w:val="center"/>
          </w:tcPr>
          <w:p w14:paraId="1D29589C">
            <w:pPr>
              <w:widowControl/>
              <w:jc w:val="center"/>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效果显著</w:t>
            </w:r>
          </w:p>
        </w:tc>
      </w:tr>
      <w:tr w14:paraId="6ED3A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273FA91D">
            <w:pPr>
              <w:jc w:val="center"/>
              <w:rPr>
                <w:rFonts w:ascii="宋体" w:cs="宋体"/>
                <w:sz w:val="20"/>
              </w:rPr>
            </w:pPr>
          </w:p>
        </w:tc>
        <w:tc>
          <w:tcPr>
            <w:tcW w:w="723" w:type="dxa"/>
            <w:tcBorders>
              <w:tl2br w:val="nil"/>
              <w:tr2bl w:val="nil"/>
            </w:tcBorders>
            <w:vAlign w:val="center"/>
          </w:tcPr>
          <w:p w14:paraId="02AFEC35">
            <w:pPr>
              <w:widowControl/>
              <w:spacing w:line="200" w:lineRule="exact"/>
              <w:jc w:val="center"/>
              <w:rPr>
                <w:rFonts w:ascii="宋体" w:hAnsi="宋体" w:eastAsia="宋体" w:cs="宋体"/>
                <w:sz w:val="20"/>
              </w:rPr>
            </w:pPr>
            <w:r>
              <w:rPr>
                <w:rFonts w:hint="eastAsia" w:ascii="宋体" w:hAnsi="宋体" w:eastAsia="宋体" w:cs="宋体"/>
                <w:sz w:val="20"/>
              </w:rPr>
              <w:t>满意度指标</w:t>
            </w:r>
          </w:p>
        </w:tc>
        <w:tc>
          <w:tcPr>
            <w:tcW w:w="759" w:type="dxa"/>
            <w:gridSpan w:val="2"/>
            <w:tcBorders>
              <w:tl2br w:val="nil"/>
              <w:tr2bl w:val="nil"/>
            </w:tcBorders>
            <w:vAlign w:val="center"/>
          </w:tcPr>
          <w:p w14:paraId="397396D6">
            <w:pPr>
              <w:widowControl/>
              <w:spacing w:line="200" w:lineRule="exact"/>
              <w:jc w:val="center"/>
              <w:rPr>
                <w:rFonts w:ascii="宋体" w:hAnsi="宋体" w:eastAsia="宋体" w:cs="宋体"/>
                <w:sz w:val="20"/>
              </w:rPr>
            </w:pPr>
            <w:r>
              <w:rPr>
                <w:rFonts w:hint="eastAsia" w:ascii="宋体" w:hAnsi="宋体" w:eastAsia="宋体" w:cs="宋体"/>
                <w:sz w:val="20"/>
              </w:rPr>
              <w:t>满意度指标</w:t>
            </w:r>
          </w:p>
        </w:tc>
        <w:tc>
          <w:tcPr>
            <w:tcW w:w="2872" w:type="dxa"/>
            <w:tcBorders>
              <w:tl2br w:val="nil"/>
              <w:tr2bl w:val="nil"/>
            </w:tcBorders>
            <w:vAlign w:val="center"/>
          </w:tcPr>
          <w:p w14:paraId="78EBCED5">
            <w:pPr>
              <w:widowControl/>
              <w:jc w:val="center"/>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受众满意度</w:t>
            </w:r>
          </w:p>
        </w:tc>
        <w:tc>
          <w:tcPr>
            <w:tcW w:w="4228" w:type="dxa"/>
            <w:gridSpan w:val="2"/>
            <w:tcBorders>
              <w:tl2br w:val="nil"/>
              <w:tr2bl w:val="nil"/>
            </w:tcBorders>
            <w:vAlign w:val="center"/>
          </w:tcPr>
          <w:p w14:paraId="2C43EA72">
            <w:pPr>
              <w:widowControl/>
              <w:jc w:val="center"/>
              <w:textAlignment w:val="center"/>
              <w:rPr>
                <w:rFonts w:hint="default" w:ascii="宋体" w:hAnsi="宋体" w:eastAsia="宋体" w:cs="宋体"/>
                <w:color w:val="000000"/>
                <w:kern w:val="0"/>
                <w:sz w:val="20"/>
                <w:szCs w:val="20"/>
                <w:lang w:val="en-US" w:eastAsia="zh-CN"/>
              </w:rPr>
            </w:pPr>
            <w:r>
              <w:rPr>
                <w:rFonts w:hint="eastAsia" w:ascii="Times New Roman" w:hAnsi="Times New Roman" w:eastAsia="宋体" w:cs="Times New Roman"/>
                <w:color w:val="000000"/>
                <w:kern w:val="0"/>
                <w:sz w:val="20"/>
                <w:szCs w:val="20"/>
                <w:lang w:val="en-US" w:eastAsia="zh-CN"/>
              </w:rPr>
              <w:t>80</w:t>
            </w:r>
          </w:p>
        </w:tc>
      </w:tr>
    </w:tbl>
    <w:p w14:paraId="58578732">
      <w:pPr>
        <w:rPr>
          <w:rFonts w:hint="eastAsia" w:ascii="TimesNewRoman" w:hAnsi="TimesNewRoman" w:eastAsia="仿宋_GB2312" w:cs="TimesNewRoman"/>
          <w:kern w:val="0"/>
          <w:sz w:val="32"/>
          <w:szCs w:val="32"/>
          <w:lang w:eastAsia="zh-CN"/>
        </w:rPr>
      </w:pPr>
    </w:p>
    <w:p w14:paraId="02499119">
      <w:pPr>
        <w:ind w:firstLine="640" w:firstLineChars="200"/>
        <w:rPr>
          <w:rFonts w:hint="eastAsia" w:ascii="TimesNewRoman" w:hAnsi="TimesNewRoman" w:eastAsia="仿宋_GB2312" w:cs="TimesNewRoman"/>
          <w:kern w:val="0"/>
          <w:sz w:val="32"/>
          <w:szCs w:val="32"/>
          <w:lang w:eastAsia="zh-CN"/>
        </w:rPr>
      </w:pPr>
      <w:r>
        <w:rPr>
          <w:rFonts w:hint="default" w:ascii="TimesNewRoman" w:hAnsi="TimesNewRoman" w:eastAsia="仿宋_GB2312" w:cs="TimesNewRoman"/>
          <w:kern w:val="0"/>
          <w:sz w:val="32"/>
          <w:szCs w:val="32"/>
          <w:lang w:eastAsia="zh-CN"/>
        </w:rPr>
        <w:t>2</w:t>
      </w:r>
      <w:r>
        <w:rPr>
          <w:rFonts w:hint="eastAsia" w:ascii="TimesNewRoman" w:hAnsi="TimesNewRoman" w:eastAsia="仿宋_GB2312" w:cs="TimesNewRoman"/>
          <w:kern w:val="0"/>
          <w:sz w:val="32"/>
          <w:szCs w:val="32"/>
          <w:lang w:eastAsia="zh-CN"/>
        </w:rPr>
        <w:t>、“学术交流活动”项目。</w:t>
      </w:r>
    </w:p>
    <w:p w14:paraId="3FE1D62D">
      <w:pPr>
        <w:ind w:firstLine="640" w:firstLineChars="200"/>
        <w:rPr>
          <w:rFonts w:hint="eastAsia" w:ascii="TimesNewRoman" w:hAnsi="TimesNewRoman" w:eastAsia="仿宋_GB2312" w:cs="TimesNewRoman"/>
          <w:kern w:val="0"/>
          <w:sz w:val="32"/>
          <w:szCs w:val="32"/>
          <w:lang w:eastAsia="zh-CN"/>
        </w:rPr>
      </w:pPr>
      <w:r>
        <w:rPr>
          <w:rFonts w:hint="eastAsia" w:ascii="TimesNewRoman" w:hAnsi="TimesNewRoman" w:eastAsia="仿宋_GB2312" w:cs="TimesNewRoman"/>
          <w:kern w:val="0"/>
          <w:sz w:val="32"/>
          <w:szCs w:val="32"/>
          <w:lang w:eastAsia="zh-CN"/>
        </w:rPr>
        <w:t>（</w:t>
      </w:r>
      <w:r>
        <w:rPr>
          <w:rFonts w:hint="default" w:ascii="TimesNewRoman" w:hAnsi="TimesNewRoman" w:eastAsia="仿宋_GB2312" w:cs="TimesNewRoman"/>
          <w:kern w:val="0"/>
          <w:sz w:val="32"/>
          <w:szCs w:val="32"/>
          <w:lang w:eastAsia="zh-CN"/>
        </w:rPr>
        <w:t>1</w:t>
      </w:r>
      <w:r>
        <w:rPr>
          <w:rFonts w:hint="eastAsia" w:ascii="TimesNewRoman" w:hAnsi="TimesNewRoman" w:eastAsia="仿宋_GB2312" w:cs="TimesNewRoman"/>
          <w:kern w:val="0"/>
          <w:sz w:val="32"/>
          <w:szCs w:val="32"/>
          <w:lang w:eastAsia="zh-CN"/>
        </w:rPr>
        <w:t>）项目概述。该项目资金主要用于学会日常管理活动、学会工作会议、学术交流活动、海智计划、中国科协学术年会，学术论坛、学会联谊活动、科技服务企业活动、专业技术培训、学会科普以及市属学会的相关活动资助等。</w:t>
      </w:r>
    </w:p>
    <w:p w14:paraId="4808ABB1">
      <w:pPr>
        <w:ind w:firstLine="640" w:firstLineChars="200"/>
        <w:rPr>
          <w:rFonts w:hint="eastAsia" w:ascii="TimesNewRoman" w:hAnsi="TimesNewRoman" w:eastAsia="仿宋_GB2312" w:cs="TimesNewRoman"/>
          <w:kern w:val="0"/>
          <w:sz w:val="32"/>
          <w:szCs w:val="32"/>
          <w:lang w:eastAsia="zh-CN"/>
        </w:rPr>
      </w:pPr>
      <w:r>
        <w:rPr>
          <w:rFonts w:hint="eastAsia" w:ascii="TimesNewRoman" w:hAnsi="TimesNewRoman" w:eastAsia="仿宋_GB2312" w:cs="TimesNewRoman"/>
          <w:kern w:val="0"/>
          <w:sz w:val="32"/>
          <w:szCs w:val="32"/>
          <w:lang w:eastAsia="zh-CN"/>
        </w:rPr>
        <w:t>（</w:t>
      </w:r>
      <w:r>
        <w:rPr>
          <w:rFonts w:hint="default" w:ascii="TimesNewRoman" w:hAnsi="TimesNewRoman" w:eastAsia="仿宋_GB2312" w:cs="TimesNewRoman"/>
          <w:kern w:val="0"/>
          <w:sz w:val="32"/>
          <w:szCs w:val="32"/>
          <w:lang w:eastAsia="zh-CN"/>
        </w:rPr>
        <w:t>2</w:t>
      </w:r>
      <w:r>
        <w:rPr>
          <w:rFonts w:hint="eastAsia" w:ascii="TimesNewRoman" w:hAnsi="TimesNewRoman" w:eastAsia="仿宋_GB2312" w:cs="TimesNewRoman"/>
          <w:kern w:val="0"/>
          <w:sz w:val="32"/>
          <w:szCs w:val="32"/>
          <w:lang w:eastAsia="zh-CN"/>
        </w:rPr>
        <w:t>）立项依据。</w:t>
      </w:r>
    </w:p>
    <w:p w14:paraId="406EFD2E">
      <w:pPr>
        <w:ind w:firstLine="640" w:firstLineChars="200"/>
        <w:rPr>
          <w:rFonts w:hint="eastAsia" w:ascii="TimesNewRoman" w:hAnsi="TimesNewRoman" w:eastAsia="仿宋_GB2312" w:cs="TimesNewRoman"/>
          <w:kern w:val="0"/>
          <w:sz w:val="32"/>
          <w:szCs w:val="32"/>
          <w:lang w:eastAsia="zh-CN"/>
        </w:rPr>
      </w:pPr>
      <w:r>
        <w:rPr>
          <w:rFonts w:hint="eastAsia" w:ascii="TimesNewRoman" w:hAnsi="TimesNewRoman" w:eastAsia="仿宋_GB2312" w:cs="TimesNewRoman"/>
          <w:kern w:val="0"/>
          <w:sz w:val="32"/>
          <w:szCs w:val="32"/>
          <w:lang w:eastAsia="zh-CN"/>
        </w:rPr>
        <w:t>（</w:t>
      </w:r>
      <w:r>
        <w:rPr>
          <w:rFonts w:hint="default" w:ascii="TimesNewRoman" w:hAnsi="TimesNewRoman" w:eastAsia="仿宋_GB2312" w:cs="TimesNewRoman"/>
          <w:kern w:val="0"/>
          <w:sz w:val="32"/>
          <w:szCs w:val="32"/>
          <w:lang w:eastAsia="zh-CN"/>
        </w:rPr>
        <w:t>3</w:t>
      </w:r>
      <w:r>
        <w:rPr>
          <w:rFonts w:hint="eastAsia" w:ascii="TimesNewRoman" w:hAnsi="TimesNewRoman" w:eastAsia="仿宋_GB2312" w:cs="TimesNewRoman"/>
          <w:kern w:val="0"/>
          <w:sz w:val="32"/>
          <w:szCs w:val="32"/>
          <w:lang w:eastAsia="zh-CN"/>
        </w:rPr>
        <w:t>）实施主体。淮北市科学技术协会（本级）</w:t>
      </w:r>
    </w:p>
    <w:p w14:paraId="5CB8D725">
      <w:pPr>
        <w:ind w:firstLine="640" w:firstLineChars="200"/>
        <w:rPr>
          <w:rFonts w:hint="eastAsia" w:ascii="TimesNewRoman" w:hAnsi="TimesNewRoman" w:eastAsia="仿宋_GB2312" w:cs="TimesNewRoman"/>
          <w:kern w:val="0"/>
          <w:sz w:val="32"/>
          <w:szCs w:val="32"/>
          <w:lang w:val="en-US" w:eastAsia="zh-CN"/>
        </w:rPr>
      </w:pPr>
      <w:r>
        <w:rPr>
          <w:rFonts w:hint="eastAsia" w:ascii="TimesNewRoman" w:hAnsi="TimesNewRoman" w:eastAsia="仿宋_GB2312" w:cs="TimesNewRoman"/>
          <w:kern w:val="0"/>
          <w:sz w:val="32"/>
          <w:szCs w:val="32"/>
          <w:lang w:eastAsia="zh-CN"/>
        </w:rPr>
        <w:t>（</w:t>
      </w:r>
      <w:r>
        <w:rPr>
          <w:rFonts w:hint="default" w:ascii="TimesNewRoman" w:hAnsi="TimesNewRoman" w:eastAsia="仿宋_GB2312" w:cs="TimesNewRoman"/>
          <w:kern w:val="0"/>
          <w:sz w:val="32"/>
          <w:szCs w:val="32"/>
          <w:lang w:eastAsia="zh-CN"/>
        </w:rPr>
        <w:t>4</w:t>
      </w:r>
      <w:r>
        <w:rPr>
          <w:rFonts w:hint="eastAsia" w:ascii="TimesNewRoman" w:hAnsi="TimesNewRoman" w:eastAsia="仿宋_GB2312" w:cs="TimesNewRoman"/>
          <w:kern w:val="0"/>
          <w:sz w:val="32"/>
          <w:szCs w:val="32"/>
          <w:lang w:eastAsia="zh-CN"/>
        </w:rPr>
        <w:t>）起止时间。</w:t>
      </w:r>
      <w:r>
        <w:rPr>
          <w:rFonts w:hint="default" w:ascii="TimesNewRoman" w:hAnsi="TimesNewRoman" w:eastAsia="仿宋_GB2312" w:cs="TimesNewRoman"/>
          <w:kern w:val="0"/>
          <w:sz w:val="32"/>
          <w:szCs w:val="32"/>
          <w:lang w:val="en-US" w:eastAsia="zh-CN"/>
        </w:rPr>
        <w:t>202</w:t>
      </w:r>
      <w:r>
        <w:rPr>
          <w:rFonts w:hint="eastAsia" w:ascii="TimesNewRoman" w:hAnsi="TimesNewRoman" w:eastAsia="仿宋_GB2312" w:cs="TimesNewRoman"/>
          <w:kern w:val="0"/>
          <w:sz w:val="32"/>
          <w:szCs w:val="32"/>
          <w:lang w:val="en-US" w:eastAsia="zh-CN"/>
        </w:rPr>
        <w:t>5.</w:t>
      </w:r>
      <w:r>
        <w:rPr>
          <w:rFonts w:hint="default" w:ascii="TimesNewRoman" w:hAnsi="TimesNewRoman" w:eastAsia="仿宋_GB2312" w:cs="TimesNewRoman"/>
          <w:kern w:val="0"/>
          <w:sz w:val="32"/>
          <w:szCs w:val="32"/>
          <w:lang w:val="en-US" w:eastAsia="zh-CN"/>
        </w:rPr>
        <w:t>01</w:t>
      </w:r>
      <w:r>
        <w:rPr>
          <w:rFonts w:hint="eastAsia" w:ascii="TimesNewRoman" w:hAnsi="TimesNewRoman" w:eastAsia="仿宋_GB2312" w:cs="TimesNewRoman"/>
          <w:kern w:val="0"/>
          <w:sz w:val="32"/>
          <w:szCs w:val="32"/>
          <w:lang w:val="en-US" w:eastAsia="zh-CN"/>
        </w:rPr>
        <w:t>-</w:t>
      </w:r>
      <w:r>
        <w:rPr>
          <w:rFonts w:hint="default" w:ascii="TimesNewRoman" w:hAnsi="TimesNewRoman" w:eastAsia="仿宋_GB2312" w:cs="TimesNewRoman"/>
          <w:kern w:val="0"/>
          <w:sz w:val="32"/>
          <w:szCs w:val="32"/>
          <w:lang w:val="en-US" w:eastAsia="zh-CN"/>
        </w:rPr>
        <w:t>202</w:t>
      </w:r>
      <w:r>
        <w:rPr>
          <w:rFonts w:hint="eastAsia" w:ascii="TimesNewRoman" w:hAnsi="TimesNewRoman" w:eastAsia="仿宋_GB2312" w:cs="TimesNewRoman"/>
          <w:kern w:val="0"/>
          <w:sz w:val="32"/>
          <w:szCs w:val="32"/>
          <w:lang w:val="en-US" w:eastAsia="zh-CN"/>
        </w:rPr>
        <w:t>5.</w:t>
      </w:r>
      <w:r>
        <w:rPr>
          <w:rFonts w:hint="default" w:ascii="TimesNewRoman" w:hAnsi="TimesNewRoman" w:eastAsia="仿宋_GB2312" w:cs="TimesNewRoman"/>
          <w:kern w:val="0"/>
          <w:sz w:val="32"/>
          <w:szCs w:val="32"/>
          <w:lang w:val="en-US" w:eastAsia="zh-CN"/>
        </w:rPr>
        <w:t>12</w:t>
      </w:r>
    </w:p>
    <w:p w14:paraId="3B186AEB">
      <w:pPr>
        <w:ind w:firstLine="640" w:firstLineChars="200"/>
        <w:rPr>
          <w:rFonts w:hint="eastAsia" w:ascii="TimesNewRoman" w:hAnsi="TimesNewRoman" w:eastAsia="仿宋_GB2312" w:cs="TimesNewRoman"/>
          <w:kern w:val="0"/>
          <w:sz w:val="32"/>
          <w:szCs w:val="32"/>
          <w:lang w:eastAsia="zh-CN"/>
        </w:rPr>
      </w:pPr>
      <w:r>
        <w:rPr>
          <w:rFonts w:hint="eastAsia" w:ascii="TimesNewRoman" w:hAnsi="TimesNewRoman" w:eastAsia="仿宋_GB2312" w:cs="TimesNewRoman"/>
          <w:kern w:val="0"/>
          <w:sz w:val="32"/>
          <w:szCs w:val="32"/>
          <w:lang w:eastAsia="zh-CN"/>
        </w:rPr>
        <w:t>（</w:t>
      </w:r>
      <w:r>
        <w:rPr>
          <w:rFonts w:hint="default" w:ascii="TimesNewRoman" w:hAnsi="TimesNewRoman" w:eastAsia="仿宋_GB2312" w:cs="TimesNewRoman"/>
          <w:kern w:val="0"/>
          <w:sz w:val="32"/>
          <w:szCs w:val="32"/>
          <w:lang w:eastAsia="zh-CN"/>
        </w:rPr>
        <w:t>5</w:t>
      </w:r>
      <w:r>
        <w:rPr>
          <w:rFonts w:hint="eastAsia" w:ascii="TimesNewRoman" w:hAnsi="TimesNewRoman" w:eastAsia="仿宋_GB2312" w:cs="TimesNewRoman"/>
          <w:kern w:val="0"/>
          <w:sz w:val="32"/>
          <w:szCs w:val="32"/>
          <w:lang w:eastAsia="zh-CN"/>
        </w:rPr>
        <w:t>）项目内容。</w:t>
      </w:r>
    </w:p>
    <w:p w14:paraId="37547DE4">
      <w:pPr>
        <w:ind w:firstLine="640" w:firstLineChars="200"/>
        <w:rPr>
          <w:rFonts w:hint="eastAsia" w:ascii="TimesNewRoman" w:hAnsi="TimesNewRoman" w:eastAsia="仿宋_GB2312" w:cs="TimesNewRoman"/>
          <w:kern w:val="0"/>
          <w:sz w:val="32"/>
          <w:szCs w:val="32"/>
          <w:lang w:val="en-US" w:eastAsia="zh-CN"/>
        </w:rPr>
      </w:pPr>
      <w:r>
        <w:rPr>
          <w:rFonts w:hint="eastAsia" w:ascii="TimesNewRoman" w:hAnsi="TimesNewRoman" w:eastAsia="仿宋_GB2312" w:cs="TimesNewRoman"/>
          <w:kern w:val="0"/>
          <w:sz w:val="32"/>
          <w:szCs w:val="32"/>
          <w:lang w:eastAsia="zh-CN"/>
        </w:rPr>
        <w:t>（</w:t>
      </w:r>
      <w:r>
        <w:rPr>
          <w:rFonts w:hint="default" w:ascii="TimesNewRoman" w:hAnsi="TimesNewRoman" w:eastAsia="仿宋_GB2312" w:cs="TimesNewRoman"/>
          <w:kern w:val="0"/>
          <w:sz w:val="32"/>
          <w:szCs w:val="32"/>
          <w:lang w:eastAsia="zh-CN"/>
        </w:rPr>
        <w:t>6</w:t>
      </w:r>
      <w:r>
        <w:rPr>
          <w:rFonts w:hint="eastAsia" w:ascii="TimesNewRoman" w:hAnsi="TimesNewRoman" w:eastAsia="仿宋_GB2312" w:cs="TimesNewRoman"/>
          <w:kern w:val="0"/>
          <w:sz w:val="32"/>
          <w:szCs w:val="32"/>
          <w:lang w:eastAsia="zh-CN"/>
        </w:rPr>
        <w:t>）年度预算安排。</w:t>
      </w:r>
      <w:r>
        <w:rPr>
          <w:rFonts w:hint="eastAsia" w:ascii="TimesNewRoman" w:hAnsi="TimesNewRoman" w:eastAsia="仿宋_GB2312" w:cs="TimesNewRoman"/>
          <w:kern w:val="0"/>
          <w:sz w:val="32"/>
          <w:szCs w:val="32"/>
          <w:lang w:val="en-US" w:eastAsia="zh-CN"/>
        </w:rPr>
        <w:t>5.6万元</w:t>
      </w:r>
    </w:p>
    <w:p w14:paraId="58D679EC">
      <w:pPr>
        <w:ind w:firstLine="640" w:firstLineChars="200"/>
        <w:rPr>
          <w:rFonts w:hint="eastAsia" w:ascii="TimesNewRoman" w:hAnsi="TimesNewRoman" w:eastAsia="仿宋_GB2312" w:cs="TimesNewRoman"/>
          <w:kern w:val="0"/>
          <w:sz w:val="32"/>
          <w:szCs w:val="32"/>
          <w:lang w:eastAsia="zh-CN"/>
        </w:rPr>
      </w:pPr>
      <w:r>
        <w:rPr>
          <w:rFonts w:hint="eastAsia" w:ascii="TimesNewRoman" w:hAnsi="TimesNewRoman" w:eastAsia="仿宋_GB2312" w:cs="TimesNewRoman"/>
          <w:kern w:val="0"/>
          <w:sz w:val="32"/>
          <w:szCs w:val="32"/>
          <w:lang w:eastAsia="zh-CN"/>
        </w:rPr>
        <w:t>（</w:t>
      </w:r>
      <w:r>
        <w:rPr>
          <w:rFonts w:hint="default" w:ascii="TimesNewRoman" w:hAnsi="TimesNewRoman" w:eastAsia="仿宋_GB2312" w:cs="TimesNewRoman"/>
          <w:kern w:val="0"/>
          <w:sz w:val="32"/>
          <w:szCs w:val="32"/>
          <w:lang w:eastAsia="zh-CN"/>
        </w:rPr>
        <w:t>7</w:t>
      </w:r>
      <w:r>
        <w:rPr>
          <w:rFonts w:hint="eastAsia" w:ascii="TimesNewRoman" w:hAnsi="TimesNewRoman" w:eastAsia="仿宋_GB2312" w:cs="TimesNewRoman"/>
          <w:kern w:val="0"/>
          <w:sz w:val="32"/>
          <w:szCs w:val="32"/>
          <w:lang w:eastAsia="zh-CN"/>
        </w:rPr>
        <w:t>）绩效目标。</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
        <w:gridCol w:w="723"/>
        <w:gridCol w:w="282"/>
        <w:gridCol w:w="477"/>
        <w:gridCol w:w="2872"/>
        <w:gridCol w:w="1575"/>
        <w:gridCol w:w="2653"/>
      </w:tblGrid>
      <w:tr w14:paraId="2BB4C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9020" w:type="dxa"/>
            <w:gridSpan w:val="7"/>
            <w:tcBorders>
              <w:top w:val="nil"/>
              <w:left w:val="nil"/>
              <w:bottom w:val="nil"/>
              <w:right w:val="nil"/>
            </w:tcBorders>
            <w:vAlign w:val="center"/>
          </w:tcPr>
          <w:p w14:paraId="5AF481D4">
            <w:pPr>
              <w:widowControl/>
              <w:jc w:val="center"/>
              <w:textAlignment w:val="center"/>
              <w:rPr>
                <w:rFonts w:ascii="宋体" w:cs="宋体"/>
                <w:b/>
                <w:bCs/>
                <w:szCs w:val="32"/>
              </w:rPr>
            </w:pPr>
            <w:r>
              <w:rPr>
                <w:rFonts w:hint="eastAsia" w:ascii="宋体" w:hAnsi="宋体" w:eastAsia="宋体" w:cs="宋体"/>
                <w:b/>
                <w:color w:val="000000"/>
                <w:kern w:val="0"/>
                <w:sz w:val="28"/>
                <w:szCs w:val="28"/>
              </w:rPr>
              <w:t>项目支出绩效目标表</w:t>
            </w:r>
          </w:p>
        </w:tc>
      </w:tr>
      <w:tr w14:paraId="59001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020" w:type="dxa"/>
            <w:gridSpan w:val="7"/>
            <w:tcBorders>
              <w:top w:val="nil"/>
              <w:left w:val="nil"/>
              <w:right w:val="nil"/>
            </w:tcBorders>
            <w:vAlign w:val="center"/>
          </w:tcPr>
          <w:p w14:paraId="0624CC69">
            <w:pPr>
              <w:widowControl/>
              <w:jc w:val="center"/>
              <w:textAlignment w:val="center"/>
              <w:rPr>
                <w:rFonts w:ascii="宋体" w:cs="宋体"/>
                <w:sz w:val="20"/>
              </w:rPr>
            </w:pPr>
            <w:r>
              <w:rPr>
                <w:rFonts w:hint="eastAsia" w:ascii="宋体" w:hAnsi="宋体" w:eastAsia="宋体" w:cs="宋体"/>
                <w:color w:val="000000"/>
                <w:kern w:val="0"/>
                <w:sz w:val="20"/>
                <w:szCs w:val="20"/>
              </w:rPr>
              <w:t xml:space="preserve"> （</w:t>
            </w:r>
            <w:r>
              <w:rPr>
                <w:rFonts w:hint="default" w:ascii="Times New Roman" w:hAnsi="Times New Roman" w:eastAsia="宋体" w:cs="Times New Roman"/>
                <w:color w:val="000000"/>
                <w:kern w:val="0"/>
                <w:sz w:val="20"/>
                <w:szCs w:val="20"/>
              </w:rPr>
              <w:t>202</w:t>
            </w:r>
            <w:r>
              <w:rPr>
                <w:rFonts w:hint="eastAsia" w:ascii="Times New Roman" w:hAnsi="Times New Roman" w:eastAsia="宋体" w:cs="Times New Roman"/>
                <w:color w:val="000000"/>
                <w:kern w:val="0"/>
                <w:sz w:val="20"/>
                <w:szCs w:val="20"/>
                <w:lang w:val="en-US" w:eastAsia="zh-CN"/>
              </w:rPr>
              <w:t>5</w:t>
            </w:r>
            <w:r>
              <w:rPr>
                <w:rFonts w:hint="eastAsia" w:ascii="宋体" w:hAnsi="宋体" w:eastAsia="宋体" w:cs="宋体"/>
                <w:color w:val="000000"/>
                <w:kern w:val="0"/>
                <w:sz w:val="20"/>
                <w:szCs w:val="20"/>
              </w:rPr>
              <w:t xml:space="preserve">年度）                                </w:t>
            </w:r>
          </w:p>
        </w:tc>
      </w:tr>
      <w:tr w14:paraId="71C1D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vAlign w:val="center"/>
          </w:tcPr>
          <w:p w14:paraId="7FF518B5">
            <w:pPr>
              <w:widowControl/>
              <w:jc w:val="center"/>
              <w:textAlignment w:val="center"/>
              <w:rPr>
                <w:rFonts w:ascii="宋体" w:cs="宋体"/>
                <w:sz w:val="20"/>
              </w:rPr>
            </w:pPr>
            <w:r>
              <w:rPr>
                <w:rFonts w:hint="eastAsia" w:ascii="宋体" w:hAnsi="宋体" w:eastAsia="宋体" w:cs="宋体"/>
                <w:color w:val="000000"/>
                <w:kern w:val="0"/>
                <w:sz w:val="20"/>
                <w:szCs w:val="20"/>
              </w:rPr>
              <w:t>项目名称</w:t>
            </w:r>
          </w:p>
        </w:tc>
        <w:tc>
          <w:tcPr>
            <w:tcW w:w="7577" w:type="dxa"/>
            <w:gridSpan w:val="4"/>
            <w:tcBorders>
              <w:tl2br w:val="nil"/>
              <w:tr2bl w:val="nil"/>
            </w:tcBorders>
            <w:vAlign w:val="center"/>
          </w:tcPr>
          <w:p w14:paraId="7124C561">
            <w:pPr>
              <w:jc w:val="center"/>
              <w:rPr>
                <w:rFonts w:ascii="宋体" w:cs="宋体"/>
                <w:sz w:val="20"/>
              </w:rPr>
            </w:pPr>
            <w:r>
              <w:rPr>
                <w:rFonts w:hint="eastAsia" w:ascii="宋体" w:hAnsi="宋体" w:eastAsia="宋体" w:cs="宋体"/>
                <w:color w:val="000000"/>
                <w:kern w:val="0"/>
                <w:sz w:val="20"/>
                <w:szCs w:val="20"/>
              </w:rPr>
              <w:t>学术交流活动</w:t>
            </w:r>
          </w:p>
        </w:tc>
      </w:tr>
      <w:tr w14:paraId="48DE7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443" w:type="dxa"/>
            <w:gridSpan w:val="3"/>
            <w:tcBorders>
              <w:tl2br w:val="nil"/>
              <w:tr2bl w:val="nil"/>
            </w:tcBorders>
            <w:vAlign w:val="center"/>
          </w:tcPr>
          <w:p w14:paraId="393E1759">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主管部门   及代码</w:t>
            </w:r>
          </w:p>
        </w:tc>
        <w:tc>
          <w:tcPr>
            <w:tcW w:w="3349" w:type="dxa"/>
            <w:gridSpan w:val="2"/>
            <w:tcBorders>
              <w:tl2br w:val="nil"/>
              <w:tr2bl w:val="nil"/>
            </w:tcBorders>
            <w:vAlign w:val="center"/>
          </w:tcPr>
          <w:p w14:paraId="4B37176F">
            <w:pPr>
              <w:widowControl/>
              <w:jc w:val="center"/>
              <w:textAlignment w:val="center"/>
              <w:rPr>
                <w:rFonts w:ascii="宋体" w:cs="宋体"/>
                <w:sz w:val="20"/>
              </w:rPr>
            </w:pPr>
            <w:r>
              <w:rPr>
                <w:rFonts w:hint="default" w:ascii="Times New Roman" w:hAnsi="Times New Roman" w:eastAsia="宋体" w:cs="Times New Roman"/>
                <w:color w:val="000000"/>
                <w:kern w:val="0"/>
                <w:sz w:val="20"/>
                <w:szCs w:val="20"/>
              </w:rPr>
              <w:t>067</w:t>
            </w:r>
            <w:r>
              <w:rPr>
                <w:rFonts w:hint="eastAsia" w:ascii="宋体" w:hAnsi="宋体" w:eastAsia="宋体" w:cs="宋体"/>
                <w:color w:val="000000"/>
                <w:kern w:val="0"/>
                <w:sz w:val="20"/>
                <w:szCs w:val="20"/>
              </w:rPr>
              <w:t>-淮北市科学技术协会</w:t>
            </w:r>
          </w:p>
        </w:tc>
        <w:tc>
          <w:tcPr>
            <w:tcW w:w="1575" w:type="dxa"/>
            <w:tcBorders>
              <w:tl2br w:val="nil"/>
              <w:tr2bl w:val="nil"/>
            </w:tcBorders>
            <w:vAlign w:val="center"/>
          </w:tcPr>
          <w:p w14:paraId="5B22FD2E">
            <w:pPr>
              <w:widowControl/>
              <w:jc w:val="center"/>
              <w:textAlignment w:val="center"/>
            </w:pPr>
            <w:r>
              <w:rPr>
                <w:rFonts w:hint="eastAsia" w:ascii="宋体" w:hAnsi="宋体" w:eastAsia="宋体" w:cs="宋体"/>
                <w:color w:val="000000"/>
                <w:kern w:val="0"/>
                <w:sz w:val="20"/>
                <w:szCs w:val="20"/>
              </w:rPr>
              <w:t>实施单位</w:t>
            </w:r>
          </w:p>
        </w:tc>
        <w:tc>
          <w:tcPr>
            <w:tcW w:w="2653" w:type="dxa"/>
            <w:tcBorders>
              <w:tl2br w:val="nil"/>
              <w:tr2bl w:val="nil"/>
            </w:tcBorders>
            <w:vAlign w:val="center"/>
          </w:tcPr>
          <w:p w14:paraId="1F9F48F8">
            <w:pPr>
              <w:widowControl/>
              <w:jc w:val="center"/>
              <w:textAlignment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eastAsia="zh-CN"/>
              </w:rPr>
              <w:t>淮北市科学技术协会（本级）</w:t>
            </w:r>
          </w:p>
          <w:p w14:paraId="020EF209">
            <w:pPr>
              <w:widowControl/>
              <w:jc w:val="center"/>
              <w:textAlignment w:val="center"/>
            </w:pPr>
          </w:p>
        </w:tc>
      </w:tr>
      <w:tr w14:paraId="1FFCD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vAlign w:val="center"/>
          </w:tcPr>
          <w:p w14:paraId="4839F068">
            <w:pPr>
              <w:widowControl/>
              <w:jc w:val="center"/>
              <w:textAlignment w:val="center"/>
              <w:rPr>
                <w:rFonts w:ascii="宋体" w:cs="宋体"/>
                <w:sz w:val="20"/>
              </w:rPr>
            </w:pPr>
            <w:r>
              <w:rPr>
                <w:rFonts w:hint="eastAsia" w:ascii="宋体" w:hAnsi="宋体" w:eastAsia="宋体" w:cs="宋体"/>
                <w:color w:val="000000"/>
                <w:kern w:val="0"/>
                <w:sz w:val="20"/>
                <w:szCs w:val="20"/>
              </w:rPr>
              <w:t>项目来源</w:t>
            </w:r>
          </w:p>
        </w:tc>
        <w:tc>
          <w:tcPr>
            <w:tcW w:w="3349" w:type="dxa"/>
            <w:gridSpan w:val="2"/>
            <w:tcBorders>
              <w:tl2br w:val="nil"/>
              <w:tr2bl w:val="nil"/>
            </w:tcBorders>
            <w:vAlign w:val="center"/>
          </w:tcPr>
          <w:p w14:paraId="2449FEB6">
            <w:pPr>
              <w:jc w:val="center"/>
              <w:rPr>
                <w:rFonts w:ascii="宋体" w:cs="宋体"/>
                <w:sz w:val="20"/>
              </w:rPr>
            </w:pPr>
            <w:r>
              <w:rPr>
                <w:rFonts w:hint="default" w:ascii="Times New Roman" w:hAnsi="Times New Roman" w:cs="Times New Roman"/>
                <w:sz w:val="20"/>
              </w:rPr>
              <w:t>1</w:t>
            </w:r>
            <w:r>
              <w:rPr>
                <w:rFonts w:hint="eastAsia" w:ascii="宋体" w:cs="宋体"/>
                <w:sz w:val="20"/>
              </w:rPr>
              <w:t>-本级申报项目</w:t>
            </w:r>
          </w:p>
        </w:tc>
        <w:tc>
          <w:tcPr>
            <w:tcW w:w="1575" w:type="dxa"/>
            <w:tcBorders>
              <w:tl2br w:val="nil"/>
              <w:tr2bl w:val="nil"/>
            </w:tcBorders>
            <w:vAlign w:val="center"/>
          </w:tcPr>
          <w:p w14:paraId="579B38B6">
            <w:pPr>
              <w:widowControl/>
              <w:jc w:val="center"/>
              <w:textAlignment w:val="center"/>
            </w:pPr>
            <w:r>
              <w:rPr>
                <w:rFonts w:hint="eastAsia" w:ascii="宋体" w:hAnsi="宋体" w:eastAsia="宋体" w:cs="宋体"/>
                <w:color w:val="000000"/>
                <w:kern w:val="0"/>
                <w:sz w:val="20"/>
                <w:szCs w:val="20"/>
              </w:rPr>
              <w:t>项目期</w:t>
            </w:r>
          </w:p>
        </w:tc>
        <w:tc>
          <w:tcPr>
            <w:tcW w:w="2653" w:type="dxa"/>
            <w:tcBorders>
              <w:tl2br w:val="nil"/>
              <w:tr2bl w:val="nil"/>
            </w:tcBorders>
            <w:vAlign w:val="center"/>
          </w:tcPr>
          <w:p w14:paraId="55EA9031">
            <w:pPr>
              <w:jc w:val="center"/>
            </w:pPr>
            <w:r>
              <w:rPr>
                <w:rFonts w:hint="default" w:ascii="Times New Roman" w:hAnsi="Times New Roman" w:eastAsia="宋体" w:cs="Times New Roman"/>
                <w:color w:val="000000"/>
                <w:kern w:val="0"/>
                <w:sz w:val="20"/>
                <w:szCs w:val="20"/>
                <w:lang w:val="en-US" w:eastAsia="zh-CN"/>
              </w:rPr>
              <w:t>1</w:t>
            </w:r>
            <w:r>
              <w:rPr>
                <w:rFonts w:hint="eastAsia" w:ascii="宋体" w:hAnsi="宋体" w:eastAsia="宋体" w:cs="宋体"/>
                <w:color w:val="000000"/>
                <w:kern w:val="0"/>
                <w:sz w:val="20"/>
                <w:szCs w:val="20"/>
                <w:lang w:val="en-US" w:eastAsia="zh-CN"/>
              </w:rPr>
              <w:t>年</w:t>
            </w:r>
          </w:p>
        </w:tc>
      </w:tr>
      <w:tr w14:paraId="023B9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restart"/>
            <w:tcBorders>
              <w:tl2br w:val="nil"/>
              <w:tr2bl w:val="nil"/>
            </w:tcBorders>
            <w:vAlign w:val="center"/>
          </w:tcPr>
          <w:p w14:paraId="312CBB76">
            <w:pPr>
              <w:widowControl/>
              <w:jc w:val="center"/>
              <w:textAlignment w:val="center"/>
              <w:rPr>
                <w:rFonts w:ascii="宋体" w:cs="宋体"/>
                <w:sz w:val="20"/>
              </w:rPr>
            </w:pPr>
            <w:r>
              <w:rPr>
                <w:rFonts w:hint="eastAsia" w:ascii="宋体" w:hAnsi="宋体" w:eastAsia="宋体" w:cs="宋体"/>
                <w:color w:val="000000"/>
                <w:kern w:val="0"/>
                <w:sz w:val="20"/>
                <w:szCs w:val="20"/>
              </w:rPr>
              <w:t>项目资金</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（万元）</w:t>
            </w:r>
          </w:p>
        </w:tc>
        <w:tc>
          <w:tcPr>
            <w:tcW w:w="3349" w:type="dxa"/>
            <w:gridSpan w:val="2"/>
            <w:tcBorders>
              <w:tl2br w:val="nil"/>
              <w:tr2bl w:val="nil"/>
            </w:tcBorders>
            <w:vAlign w:val="center"/>
          </w:tcPr>
          <w:p w14:paraId="769F3691">
            <w:pPr>
              <w:widowControl/>
              <w:jc w:val="left"/>
              <w:textAlignment w:val="center"/>
              <w:rPr>
                <w:rFonts w:ascii="宋体" w:cs="宋体"/>
                <w:sz w:val="20"/>
              </w:rPr>
            </w:pPr>
            <w:r>
              <w:rPr>
                <w:rFonts w:hint="eastAsia" w:ascii="宋体" w:hAnsi="宋体" w:eastAsia="宋体" w:cs="宋体"/>
                <w:color w:val="000000"/>
                <w:kern w:val="0"/>
                <w:sz w:val="20"/>
                <w:szCs w:val="20"/>
              </w:rPr>
              <w:t xml:space="preserve"> 年度资金总额：</w:t>
            </w:r>
          </w:p>
        </w:tc>
        <w:tc>
          <w:tcPr>
            <w:tcW w:w="4228" w:type="dxa"/>
            <w:gridSpan w:val="2"/>
            <w:tcBorders>
              <w:tl2br w:val="nil"/>
              <w:tr2bl w:val="nil"/>
            </w:tcBorders>
            <w:vAlign w:val="center"/>
          </w:tcPr>
          <w:p w14:paraId="061C3E54">
            <w:pPr>
              <w:jc w:val="center"/>
              <w:rPr>
                <w:rFonts w:hint="eastAsia" w:ascii="宋体" w:hAnsi="宋体" w:eastAsia="宋体" w:cs="宋体"/>
                <w:color w:val="000000"/>
                <w:kern w:val="0"/>
                <w:sz w:val="20"/>
                <w:szCs w:val="20"/>
                <w:lang w:val="en-US" w:eastAsia="zh-CN"/>
              </w:rPr>
            </w:pPr>
            <w:r>
              <w:rPr>
                <w:rFonts w:hint="eastAsia" w:ascii="Times New Roman" w:hAnsi="Times New Roman" w:eastAsia="宋体" w:cs="Times New Roman"/>
                <w:color w:val="000000"/>
                <w:kern w:val="0"/>
                <w:sz w:val="20"/>
                <w:szCs w:val="20"/>
                <w:lang w:val="en-US" w:eastAsia="zh-CN"/>
              </w:rPr>
              <w:t>5.6万元</w:t>
            </w:r>
          </w:p>
        </w:tc>
      </w:tr>
      <w:tr w14:paraId="18DE2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154C5063">
            <w:pPr>
              <w:jc w:val="center"/>
              <w:rPr>
                <w:rFonts w:ascii="宋体" w:cs="宋体"/>
                <w:sz w:val="20"/>
              </w:rPr>
            </w:pPr>
          </w:p>
        </w:tc>
        <w:tc>
          <w:tcPr>
            <w:tcW w:w="3349" w:type="dxa"/>
            <w:gridSpan w:val="2"/>
            <w:tcBorders>
              <w:tl2br w:val="nil"/>
              <w:tr2bl w:val="nil"/>
            </w:tcBorders>
            <w:vAlign w:val="center"/>
          </w:tcPr>
          <w:p w14:paraId="291F7D13">
            <w:pPr>
              <w:widowControl/>
              <w:jc w:val="left"/>
              <w:textAlignment w:val="center"/>
              <w:rPr>
                <w:rFonts w:ascii="宋体" w:cs="宋体"/>
                <w:sz w:val="20"/>
              </w:rPr>
            </w:pPr>
            <w:r>
              <w:rPr>
                <w:rFonts w:hint="eastAsia" w:ascii="宋体" w:hAnsi="宋体" w:eastAsia="宋体" w:cs="宋体"/>
                <w:color w:val="000000"/>
                <w:kern w:val="0"/>
                <w:sz w:val="20"/>
                <w:szCs w:val="20"/>
              </w:rPr>
              <w:t xml:space="preserve">   其中：财政拨款</w:t>
            </w:r>
          </w:p>
        </w:tc>
        <w:tc>
          <w:tcPr>
            <w:tcW w:w="4228" w:type="dxa"/>
            <w:gridSpan w:val="2"/>
            <w:tcBorders>
              <w:tl2br w:val="nil"/>
              <w:tr2bl w:val="nil"/>
            </w:tcBorders>
            <w:vAlign w:val="center"/>
          </w:tcPr>
          <w:p w14:paraId="6383629F">
            <w:pPr>
              <w:jc w:val="center"/>
              <w:rPr>
                <w:rFonts w:hint="eastAsia" w:ascii="宋体" w:hAnsi="宋体" w:eastAsia="宋体" w:cs="宋体"/>
                <w:color w:val="000000"/>
                <w:kern w:val="0"/>
                <w:sz w:val="20"/>
                <w:szCs w:val="20"/>
                <w:lang w:val="en-US" w:eastAsia="zh-CN"/>
              </w:rPr>
            </w:pPr>
            <w:r>
              <w:rPr>
                <w:rFonts w:hint="eastAsia" w:ascii="Times New Roman" w:hAnsi="Times New Roman" w:eastAsia="宋体" w:cs="Times New Roman"/>
                <w:color w:val="000000"/>
                <w:kern w:val="0"/>
                <w:sz w:val="20"/>
                <w:szCs w:val="20"/>
                <w:lang w:val="en-US" w:eastAsia="zh-CN"/>
              </w:rPr>
              <w:t>5.6</w:t>
            </w:r>
            <w:r>
              <w:rPr>
                <w:rFonts w:hint="eastAsia" w:ascii="宋体" w:hAnsi="宋体" w:eastAsia="宋体" w:cs="宋体"/>
                <w:color w:val="000000"/>
                <w:kern w:val="0"/>
                <w:sz w:val="20"/>
                <w:szCs w:val="20"/>
                <w:lang w:val="en-US" w:eastAsia="zh-CN"/>
              </w:rPr>
              <w:t>万元</w:t>
            </w:r>
          </w:p>
        </w:tc>
      </w:tr>
      <w:tr w14:paraId="49AAD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79AE3CE5">
            <w:pPr>
              <w:jc w:val="center"/>
              <w:rPr>
                <w:rFonts w:ascii="宋体" w:cs="宋体"/>
                <w:sz w:val="20"/>
              </w:rPr>
            </w:pPr>
          </w:p>
        </w:tc>
        <w:tc>
          <w:tcPr>
            <w:tcW w:w="3349" w:type="dxa"/>
            <w:gridSpan w:val="2"/>
            <w:tcBorders>
              <w:tl2br w:val="nil"/>
              <w:tr2bl w:val="nil"/>
            </w:tcBorders>
            <w:vAlign w:val="center"/>
          </w:tcPr>
          <w:p w14:paraId="027B2D8D">
            <w:pPr>
              <w:widowControl/>
              <w:jc w:val="left"/>
              <w:textAlignment w:val="center"/>
              <w:rPr>
                <w:rFonts w:ascii="宋体" w:cs="宋体"/>
                <w:sz w:val="20"/>
              </w:rPr>
            </w:pPr>
            <w:r>
              <w:rPr>
                <w:rFonts w:hint="eastAsia" w:ascii="宋体" w:hAnsi="宋体" w:eastAsia="宋体" w:cs="宋体"/>
                <w:color w:val="000000"/>
                <w:kern w:val="0"/>
                <w:sz w:val="20"/>
                <w:szCs w:val="20"/>
              </w:rPr>
              <w:t xml:space="preserve">         上年结转</w:t>
            </w:r>
          </w:p>
        </w:tc>
        <w:tc>
          <w:tcPr>
            <w:tcW w:w="4228" w:type="dxa"/>
            <w:gridSpan w:val="2"/>
            <w:tcBorders>
              <w:tl2br w:val="nil"/>
              <w:tr2bl w:val="nil"/>
            </w:tcBorders>
            <w:vAlign w:val="center"/>
          </w:tcPr>
          <w:p w14:paraId="393AF58B">
            <w:pPr>
              <w:jc w:val="center"/>
              <w:rPr>
                <w:rFonts w:ascii="宋体" w:cs="宋体"/>
                <w:sz w:val="20"/>
              </w:rPr>
            </w:pPr>
          </w:p>
        </w:tc>
      </w:tr>
      <w:tr w14:paraId="51BEF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7D951210">
            <w:pPr>
              <w:jc w:val="center"/>
              <w:rPr>
                <w:rFonts w:ascii="宋体" w:cs="宋体"/>
                <w:sz w:val="20"/>
              </w:rPr>
            </w:pPr>
          </w:p>
        </w:tc>
        <w:tc>
          <w:tcPr>
            <w:tcW w:w="3349" w:type="dxa"/>
            <w:gridSpan w:val="2"/>
            <w:tcBorders>
              <w:tl2br w:val="nil"/>
              <w:tr2bl w:val="nil"/>
            </w:tcBorders>
            <w:vAlign w:val="center"/>
          </w:tcPr>
          <w:p w14:paraId="2BE8B691">
            <w:pPr>
              <w:widowControl/>
              <w:jc w:val="left"/>
              <w:textAlignment w:val="center"/>
              <w:rPr>
                <w:rFonts w:ascii="宋体" w:cs="宋体"/>
                <w:sz w:val="20"/>
              </w:rPr>
            </w:pPr>
            <w:r>
              <w:rPr>
                <w:rFonts w:hint="eastAsia" w:ascii="宋体" w:hAnsi="宋体" w:eastAsia="宋体" w:cs="宋体"/>
                <w:color w:val="000000"/>
                <w:kern w:val="0"/>
                <w:sz w:val="20"/>
                <w:szCs w:val="20"/>
              </w:rPr>
              <w:t xml:space="preserve">         其他资金</w:t>
            </w:r>
          </w:p>
        </w:tc>
        <w:tc>
          <w:tcPr>
            <w:tcW w:w="4228" w:type="dxa"/>
            <w:gridSpan w:val="2"/>
            <w:tcBorders>
              <w:tl2br w:val="nil"/>
              <w:tr2bl w:val="nil"/>
            </w:tcBorders>
            <w:vAlign w:val="center"/>
          </w:tcPr>
          <w:p w14:paraId="5CB7C541">
            <w:pPr>
              <w:jc w:val="right"/>
              <w:rPr>
                <w:rFonts w:ascii="宋体" w:cs="宋体"/>
                <w:sz w:val="20"/>
              </w:rPr>
            </w:pPr>
          </w:p>
        </w:tc>
      </w:tr>
      <w:tr w14:paraId="742D4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438" w:type="dxa"/>
            <w:tcBorders>
              <w:tl2br w:val="nil"/>
              <w:tr2bl w:val="nil"/>
            </w:tcBorders>
            <w:vAlign w:val="center"/>
          </w:tcPr>
          <w:p w14:paraId="09657119">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年度</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目标</w:t>
            </w:r>
          </w:p>
        </w:tc>
        <w:tc>
          <w:tcPr>
            <w:tcW w:w="8582" w:type="dxa"/>
            <w:gridSpan w:val="6"/>
            <w:tcBorders>
              <w:tl2br w:val="nil"/>
              <w:tr2bl w:val="nil"/>
            </w:tcBorders>
            <w:vAlign w:val="center"/>
          </w:tcPr>
          <w:p w14:paraId="687235D8">
            <w:pPr>
              <w:jc w:val="left"/>
              <w:rPr>
                <w:rFonts w:hint="eastAsia" w:ascii="宋体" w:cs="宋体"/>
                <w:sz w:val="20"/>
              </w:rPr>
            </w:pPr>
            <w:r>
              <w:rPr>
                <w:rFonts w:hint="eastAsia" w:ascii="宋体" w:cs="宋体"/>
                <w:sz w:val="20"/>
              </w:rPr>
              <w:t>开展学术交流活动</w:t>
            </w:r>
          </w:p>
          <w:p w14:paraId="6C4EA224">
            <w:pPr>
              <w:jc w:val="left"/>
              <w:rPr>
                <w:rFonts w:ascii="宋体" w:cs="宋体"/>
                <w:sz w:val="20"/>
              </w:rPr>
            </w:pPr>
            <w:r>
              <w:rPr>
                <w:rFonts w:hint="eastAsia" w:ascii="宋体" w:cs="宋体"/>
                <w:sz w:val="20"/>
              </w:rPr>
              <w:t>密切联系基层科技工作者</w:t>
            </w:r>
          </w:p>
        </w:tc>
      </w:tr>
      <w:tr w14:paraId="2DA32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438" w:type="dxa"/>
            <w:vMerge w:val="restart"/>
            <w:tcBorders>
              <w:tl2br w:val="nil"/>
              <w:tr2bl w:val="nil"/>
            </w:tcBorders>
            <w:vAlign w:val="center"/>
          </w:tcPr>
          <w:p w14:paraId="44152BDC">
            <w:pPr>
              <w:widowControl/>
              <w:jc w:val="center"/>
              <w:textAlignment w:val="center"/>
              <w:rPr>
                <w:rFonts w:ascii="宋体" w:cs="宋体"/>
                <w:sz w:val="20"/>
              </w:rPr>
            </w:pPr>
            <w:r>
              <w:rPr>
                <w:rFonts w:hint="eastAsia" w:ascii="宋体" w:hAnsi="宋体" w:eastAsia="宋体" w:cs="宋体"/>
                <w:color w:val="000000"/>
                <w:kern w:val="0"/>
                <w:sz w:val="20"/>
                <w:szCs w:val="20"/>
              </w:rPr>
              <w:t>绩</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效</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指</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标</w:t>
            </w:r>
          </w:p>
        </w:tc>
        <w:tc>
          <w:tcPr>
            <w:tcW w:w="723" w:type="dxa"/>
            <w:tcBorders>
              <w:tl2br w:val="nil"/>
              <w:tr2bl w:val="nil"/>
            </w:tcBorders>
            <w:vAlign w:val="center"/>
          </w:tcPr>
          <w:p w14:paraId="61C2F588">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一级</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指标</w:t>
            </w:r>
          </w:p>
        </w:tc>
        <w:tc>
          <w:tcPr>
            <w:tcW w:w="759" w:type="dxa"/>
            <w:gridSpan w:val="2"/>
            <w:tcBorders>
              <w:tl2br w:val="nil"/>
              <w:tr2bl w:val="nil"/>
            </w:tcBorders>
            <w:vAlign w:val="center"/>
          </w:tcPr>
          <w:p w14:paraId="1ADCAFF4">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二级指标</w:t>
            </w:r>
          </w:p>
        </w:tc>
        <w:tc>
          <w:tcPr>
            <w:tcW w:w="2872" w:type="dxa"/>
            <w:tcBorders>
              <w:tl2br w:val="nil"/>
              <w:tr2bl w:val="nil"/>
            </w:tcBorders>
            <w:vAlign w:val="center"/>
          </w:tcPr>
          <w:p w14:paraId="264FB128">
            <w:pPr>
              <w:widowControl/>
              <w:jc w:val="center"/>
              <w:textAlignment w:val="center"/>
              <w:rPr>
                <w:rFonts w:ascii="宋体" w:cs="宋体"/>
                <w:sz w:val="20"/>
              </w:rPr>
            </w:pPr>
            <w:r>
              <w:rPr>
                <w:rFonts w:hint="eastAsia" w:ascii="宋体" w:hAnsi="宋体" w:eastAsia="宋体" w:cs="宋体"/>
                <w:color w:val="000000"/>
                <w:kern w:val="0"/>
                <w:sz w:val="20"/>
                <w:szCs w:val="20"/>
              </w:rPr>
              <w:t>三级指标</w:t>
            </w:r>
          </w:p>
        </w:tc>
        <w:tc>
          <w:tcPr>
            <w:tcW w:w="4228" w:type="dxa"/>
            <w:gridSpan w:val="2"/>
            <w:tcBorders>
              <w:tl2br w:val="nil"/>
              <w:tr2bl w:val="nil"/>
            </w:tcBorders>
            <w:vAlign w:val="center"/>
          </w:tcPr>
          <w:p w14:paraId="7038D712">
            <w:pPr>
              <w:widowControl/>
              <w:jc w:val="center"/>
              <w:textAlignment w:val="center"/>
              <w:rPr>
                <w:rFonts w:ascii="宋体" w:cs="宋体"/>
                <w:sz w:val="20"/>
              </w:rPr>
            </w:pPr>
            <w:r>
              <w:rPr>
                <w:rFonts w:hint="eastAsia" w:ascii="宋体" w:hAnsi="宋体" w:eastAsia="宋体" w:cs="宋体"/>
                <w:color w:val="000000"/>
                <w:kern w:val="0"/>
                <w:sz w:val="20"/>
                <w:szCs w:val="20"/>
              </w:rPr>
              <w:t>指标值</w:t>
            </w:r>
          </w:p>
        </w:tc>
      </w:tr>
      <w:tr w14:paraId="75F7B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05003158">
            <w:pPr>
              <w:jc w:val="center"/>
              <w:rPr>
                <w:rFonts w:ascii="宋体" w:cs="宋体"/>
                <w:sz w:val="20"/>
              </w:rPr>
            </w:pPr>
          </w:p>
        </w:tc>
        <w:tc>
          <w:tcPr>
            <w:tcW w:w="723" w:type="dxa"/>
            <w:vMerge w:val="restart"/>
            <w:tcBorders>
              <w:tl2br w:val="nil"/>
              <w:tr2bl w:val="nil"/>
            </w:tcBorders>
            <w:vAlign w:val="center"/>
          </w:tcPr>
          <w:p w14:paraId="25DB5701">
            <w:pPr>
              <w:widowControl/>
              <w:jc w:val="center"/>
              <w:textAlignment w:val="center"/>
              <w:rPr>
                <w:rFonts w:ascii="宋体" w:cs="宋体"/>
                <w:sz w:val="20"/>
              </w:rPr>
            </w:pPr>
            <w:r>
              <w:rPr>
                <w:rFonts w:hint="eastAsia" w:ascii="宋体" w:hAnsi="宋体" w:eastAsia="宋体" w:cs="宋体"/>
                <w:color w:val="000000"/>
                <w:kern w:val="0"/>
                <w:sz w:val="20"/>
                <w:szCs w:val="20"/>
              </w:rPr>
              <w:t>产出指标</w:t>
            </w:r>
          </w:p>
        </w:tc>
        <w:tc>
          <w:tcPr>
            <w:tcW w:w="759" w:type="dxa"/>
            <w:gridSpan w:val="2"/>
            <w:vMerge w:val="restart"/>
            <w:tcBorders>
              <w:tl2br w:val="nil"/>
              <w:tr2bl w:val="nil"/>
            </w:tcBorders>
            <w:vAlign w:val="center"/>
          </w:tcPr>
          <w:p w14:paraId="3286177D">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数量指标</w:t>
            </w:r>
          </w:p>
        </w:tc>
        <w:tc>
          <w:tcPr>
            <w:tcW w:w="2872" w:type="dxa"/>
            <w:tcBorders>
              <w:tl2br w:val="nil"/>
              <w:tr2bl w:val="nil"/>
            </w:tcBorders>
            <w:vAlign w:val="center"/>
          </w:tcPr>
          <w:p w14:paraId="78C4FF29">
            <w:pPr>
              <w:widowControl/>
              <w:jc w:val="center"/>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奖励下属优秀学会</w:t>
            </w:r>
          </w:p>
        </w:tc>
        <w:tc>
          <w:tcPr>
            <w:tcW w:w="4228" w:type="dxa"/>
            <w:gridSpan w:val="2"/>
            <w:tcBorders>
              <w:tl2br w:val="nil"/>
              <w:tr2bl w:val="nil"/>
            </w:tcBorders>
            <w:vAlign w:val="center"/>
          </w:tcPr>
          <w:p w14:paraId="194E9BA1">
            <w:pPr>
              <w:widowControl/>
              <w:jc w:val="center"/>
              <w:textAlignment w:val="center"/>
              <w:rPr>
                <w:rFonts w:hint="eastAsia" w:ascii="宋体" w:hAnsi="宋体" w:eastAsia="宋体" w:cs="宋体"/>
                <w:color w:val="000000"/>
                <w:kern w:val="0"/>
                <w:sz w:val="20"/>
                <w:szCs w:val="20"/>
                <w:lang w:val="en-US" w:eastAsia="zh-CN"/>
              </w:rPr>
            </w:pPr>
            <w:r>
              <w:rPr>
                <w:rFonts w:hint="eastAsia" w:ascii="Times New Roman" w:hAnsi="Times New Roman" w:eastAsia="宋体" w:cs="Times New Roman"/>
                <w:color w:val="000000"/>
                <w:kern w:val="0"/>
                <w:sz w:val="20"/>
                <w:szCs w:val="20"/>
                <w:lang w:val="en-US" w:eastAsia="zh-CN"/>
              </w:rPr>
              <w:t>8</w:t>
            </w:r>
            <w:r>
              <w:rPr>
                <w:rFonts w:hint="eastAsia" w:ascii="宋体" w:hAnsi="宋体" w:eastAsia="宋体" w:cs="宋体"/>
                <w:color w:val="000000"/>
                <w:kern w:val="0"/>
                <w:sz w:val="20"/>
                <w:szCs w:val="20"/>
                <w:lang w:val="en-US" w:eastAsia="zh-CN"/>
              </w:rPr>
              <w:t>个</w:t>
            </w:r>
          </w:p>
        </w:tc>
      </w:tr>
      <w:tr w14:paraId="7E6FA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12C24E3F">
            <w:pPr>
              <w:jc w:val="center"/>
              <w:rPr>
                <w:rFonts w:ascii="宋体" w:cs="宋体"/>
                <w:sz w:val="20"/>
              </w:rPr>
            </w:pPr>
          </w:p>
        </w:tc>
        <w:tc>
          <w:tcPr>
            <w:tcW w:w="723" w:type="dxa"/>
            <w:vMerge w:val="continue"/>
            <w:tcBorders>
              <w:tl2br w:val="nil"/>
              <w:tr2bl w:val="nil"/>
            </w:tcBorders>
            <w:vAlign w:val="center"/>
          </w:tcPr>
          <w:p w14:paraId="0A3BEDF8">
            <w:pPr>
              <w:jc w:val="center"/>
              <w:rPr>
                <w:rFonts w:ascii="宋体" w:cs="宋体"/>
                <w:sz w:val="20"/>
              </w:rPr>
            </w:pPr>
          </w:p>
        </w:tc>
        <w:tc>
          <w:tcPr>
            <w:tcW w:w="759" w:type="dxa"/>
            <w:gridSpan w:val="2"/>
            <w:vMerge w:val="continue"/>
            <w:tcBorders>
              <w:tl2br w:val="nil"/>
              <w:tr2bl w:val="nil"/>
            </w:tcBorders>
            <w:vAlign w:val="center"/>
          </w:tcPr>
          <w:p w14:paraId="6DAE9F89">
            <w:pPr>
              <w:jc w:val="center"/>
              <w:rPr>
                <w:rFonts w:ascii="宋体" w:cs="宋体"/>
                <w:sz w:val="20"/>
              </w:rPr>
            </w:pPr>
          </w:p>
        </w:tc>
        <w:tc>
          <w:tcPr>
            <w:tcW w:w="2872" w:type="dxa"/>
            <w:tcBorders>
              <w:tl2br w:val="nil"/>
              <w:tr2bl w:val="nil"/>
            </w:tcBorders>
            <w:vAlign w:val="center"/>
          </w:tcPr>
          <w:p w14:paraId="7F3184CE">
            <w:pPr>
              <w:widowControl/>
              <w:jc w:val="center"/>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br w:type="textWrapping"/>
            </w:r>
            <w:r>
              <w:rPr>
                <w:rFonts w:hint="default" w:ascii="宋体" w:hAnsi="宋体" w:eastAsia="宋体" w:cs="宋体"/>
                <w:color w:val="000000"/>
                <w:kern w:val="0"/>
                <w:sz w:val="20"/>
                <w:szCs w:val="20"/>
              </w:rPr>
              <w:t>开展科技工作者日活动</w:t>
            </w:r>
          </w:p>
        </w:tc>
        <w:tc>
          <w:tcPr>
            <w:tcW w:w="4228" w:type="dxa"/>
            <w:gridSpan w:val="2"/>
            <w:tcBorders>
              <w:tl2br w:val="nil"/>
              <w:tr2bl w:val="nil"/>
            </w:tcBorders>
            <w:vAlign w:val="center"/>
          </w:tcPr>
          <w:p w14:paraId="0A14FED1">
            <w:pPr>
              <w:widowControl/>
              <w:jc w:val="center"/>
              <w:textAlignment w:val="center"/>
              <w:rPr>
                <w:rFonts w:hint="default" w:ascii="宋体" w:hAnsi="宋体" w:eastAsia="宋体" w:cs="宋体"/>
                <w:color w:val="000000"/>
                <w:kern w:val="0"/>
                <w:sz w:val="20"/>
                <w:szCs w:val="20"/>
                <w:lang w:val="en-US" w:eastAsia="zh-CN"/>
              </w:rPr>
            </w:pPr>
            <w:r>
              <w:rPr>
                <w:rFonts w:hint="default" w:ascii="Times New Roman" w:hAnsi="Times New Roman" w:eastAsia="宋体" w:cs="Times New Roman"/>
                <w:color w:val="000000"/>
                <w:kern w:val="0"/>
                <w:sz w:val="20"/>
                <w:szCs w:val="20"/>
                <w:lang w:val="en-US" w:eastAsia="zh-CN"/>
              </w:rPr>
              <w:t>1</w:t>
            </w:r>
            <w:r>
              <w:rPr>
                <w:rFonts w:hint="eastAsia" w:ascii="宋体" w:hAnsi="宋体" w:eastAsia="宋体" w:cs="宋体"/>
                <w:color w:val="000000"/>
                <w:kern w:val="0"/>
                <w:sz w:val="20"/>
                <w:szCs w:val="20"/>
                <w:lang w:val="en-US" w:eastAsia="zh-CN"/>
              </w:rPr>
              <w:t>次</w:t>
            </w:r>
          </w:p>
        </w:tc>
      </w:tr>
      <w:tr w14:paraId="4F199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164A85C5">
            <w:pPr>
              <w:jc w:val="center"/>
              <w:rPr>
                <w:rFonts w:ascii="宋体" w:cs="宋体"/>
                <w:sz w:val="20"/>
              </w:rPr>
            </w:pPr>
          </w:p>
        </w:tc>
        <w:tc>
          <w:tcPr>
            <w:tcW w:w="723" w:type="dxa"/>
            <w:vMerge w:val="continue"/>
            <w:tcBorders>
              <w:tl2br w:val="nil"/>
              <w:tr2bl w:val="nil"/>
            </w:tcBorders>
            <w:vAlign w:val="center"/>
          </w:tcPr>
          <w:p w14:paraId="789F85DA">
            <w:pPr>
              <w:jc w:val="center"/>
              <w:rPr>
                <w:rFonts w:ascii="宋体" w:cs="宋体"/>
                <w:sz w:val="20"/>
              </w:rPr>
            </w:pPr>
          </w:p>
        </w:tc>
        <w:tc>
          <w:tcPr>
            <w:tcW w:w="759" w:type="dxa"/>
            <w:gridSpan w:val="2"/>
            <w:tcBorders>
              <w:tl2br w:val="nil"/>
              <w:tr2bl w:val="nil"/>
            </w:tcBorders>
            <w:vAlign w:val="center"/>
          </w:tcPr>
          <w:p w14:paraId="03A48CB0">
            <w:pPr>
              <w:jc w:val="center"/>
              <w:rPr>
                <w:rFonts w:ascii="宋体" w:cs="宋体"/>
                <w:sz w:val="20"/>
              </w:rPr>
            </w:pPr>
          </w:p>
        </w:tc>
        <w:tc>
          <w:tcPr>
            <w:tcW w:w="2872" w:type="dxa"/>
            <w:tcBorders>
              <w:tl2br w:val="nil"/>
              <w:tr2bl w:val="nil"/>
            </w:tcBorders>
            <w:vAlign w:val="center"/>
          </w:tcPr>
          <w:p w14:paraId="4008A140">
            <w:pPr>
              <w:widowControl/>
              <w:jc w:val="center"/>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开展学术交流活动</w:t>
            </w:r>
          </w:p>
        </w:tc>
        <w:tc>
          <w:tcPr>
            <w:tcW w:w="4228" w:type="dxa"/>
            <w:gridSpan w:val="2"/>
            <w:tcBorders>
              <w:tl2br w:val="nil"/>
              <w:tr2bl w:val="nil"/>
            </w:tcBorders>
            <w:vAlign w:val="center"/>
          </w:tcPr>
          <w:p w14:paraId="3DE8BC0A">
            <w:pPr>
              <w:widowControl/>
              <w:jc w:val="center"/>
              <w:textAlignment w:val="center"/>
              <w:rPr>
                <w:rFonts w:hint="eastAsia" w:ascii="宋体" w:hAnsi="宋体" w:eastAsia="宋体" w:cs="宋体"/>
                <w:color w:val="000000"/>
                <w:kern w:val="0"/>
                <w:sz w:val="20"/>
                <w:szCs w:val="20"/>
                <w:lang w:val="en-US" w:eastAsia="zh-CN"/>
              </w:rPr>
            </w:pPr>
            <w:r>
              <w:rPr>
                <w:rFonts w:hint="default" w:ascii="Times New Roman" w:hAnsi="Times New Roman" w:eastAsia="宋体" w:cs="Times New Roman"/>
                <w:color w:val="000000"/>
                <w:kern w:val="0"/>
                <w:sz w:val="20"/>
                <w:szCs w:val="20"/>
                <w:lang w:val="en-US" w:eastAsia="zh-CN"/>
              </w:rPr>
              <w:t>2</w:t>
            </w:r>
            <w:r>
              <w:rPr>
                <w:rFonts w:hint="eastAsia" w:ascii="宋体" w:hAnsi="宋体" w:eastAsia="宋体" w:cs="宋体"/>
                <w:color w:val="000000"/>
                <w:kern w:val="0"/>
                <w:sz w:val="20"/>
                <w:szCs w:val="20"/>
                <w:lang w:val="en-US" w:eastAsia="zh-CN"/>
              </w:rPr>
              <w:t>次</w:t>
            </w:r>
          </w:p>
        </w:tc>
      </w:tr>
      <w:tr w14:paraId="3977F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2DC23545">
            <w:pPr>
              <w:jc w:val="center"/>
              <w:rPr>
                <w:rFonts w:ascii="宋体" w:cs="宋体"/>
                <w:sz w:val="20"/>
              </w:rPr>
            </w:pPr>
          </w:p>
        </w:tc>
        <w:tc>
          <w:tcPr>
            <w:tcW w:w="723" w:type="dxa"/>
            <w:vMerge w:val="continue"/>
            <w:tcBorders>
              <w:tl2br w:val="nil"/>
              <w:tr2bl w:val="nil"/>
            </w:tcBorders>
            <w:vAlign w:val="center"/>
          </w:tcPr>
          <w:p w14:paraId="758CDAA5">
            <w:pPr>
              <w:jc w:val="center"/>
              <w:rPr>
                <w:rFonts w:ascii="宋体" w:cs="宋体"/>
                <w:sz w:val="20"/>
              </w:rPr>
            </w:pPr>
          </w:p>
        </w:tc>
        <w:tc>
          <w:tcPr>
            <w:tcW w:w="759" w:type="dxa"/>
            <w:gridSpan w:val="2"/>
            <w:tcBorders>
              <w:tl2br w:val="nil"/>
              <w:tr2bl w:val="nil"/>
            </w:tcBorders>
            <w:vAlign w:val="center"/>
          </w:tcPr>
          <w:p w14:paraId="63D2CAB0">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质量指标</w:t>
            </w:r>
          </w:p>
        </w:tc>
        <w:tc>
          <w:tcPr>
            <w:tcW w:w="2872" w:type="dxa"/>
            <w:tcBorders>
              <w:tl2br w:val="nil"/>
              <w:tr2bl w:val="nil"/>
            </w:tcBorders>
            <w:vAlign w:val="center"/>
          </w:tcPr>
          <w:p w14:paraId="24869BDD">
            <w:pPr>
              <w:widowControl/>
              <w:jc w:val="center"/>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资金支出合规性</w:t>
            </w:r>
          </w:p>
        </w:tc>
        <w:tc>
          <w:tcPr>
            <w:tcW w:w="4228" w:type="dxa"/>
            <w:gridSpan w:val="2"/>
            <w:tcBorders>
              <w:tl2br w:val="nil"/>
              <w:tr2bl w:val="nil"/>
            </w:tcBorders>
            <w:vAlign w:val="center"/>
          </w:tcPr>
          <w:p w14:paraId="43A73954">
            <w:pPr>
              <w:widowControl/>
              <w:jc w:val="center"/>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合规</w:t>
            </w:r>
          </w:p>
        </w:tc>
      </w:tr>
      <w:tr w14:paraId="794A9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1CD0DF5E">
            <w:pPr>
              <w:jc w:val="center"/>
              <w:rPr>
                <w:rFonts w:ascii="宋体" w:cs="宋体"/>
                <w:sz w:val="20"/>
              </w:rPr>
            </w:pPr>
          </w:p>
        </w:tc>
        <w:tc>
          <w:tcPr>
            <w:tcW w:w="723" w:type="dxa"/>
            <w:vMerge w:val="continue"/>
            <w:tcBorders>
              <w:tl2br w:val="nil"/>
              <w:tr2bl w:val="nil"/>
            </w:tcBorders>
            <w:vAlign w:val="center"/>
          </w:tcPr>
          <w:p w14:paraId="1935F7F0">
            <w:pPr>
              <w:jc w:val="center"/>
              <w:rPr>
                <w:rFonts w:ascii="宋体" w:cs="宋体"/>
                <w:sz w:val="20"/>
              </w:rPr>
            </w:pPr>
          </w:p>
        </w:tc>
        <w:tc>
          <w:tcPr>
            <w:tcW w:w="759" w:type="dxa"/>
            <w:gridSpan w:val="2"/>
            <w:tcBorders>
              <w:tl2br w:val="nil"/>
              <w:tr2bl w:val="nil"/>
            </w:tcBorders>
            <w:vAlign w:val="center"/>
          </w:tcPr>
          <w:p w14:paraId="4CA8BBE3">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时效指标</w:t>
            </w:r>
          </w:p>
        </w:tc>
        <w:tc>
          <w:tcPr>
            <w:tcW w:w="2872" w:type="dxa"/>
            <w:tcBorders>
              <w:tl2br w:val="nil"/>
              <w:tr2bl w:val="nil"/>
            </w:tcBorders>
            <w:vAlign w:val="center"/>
          </w:tcPr>
          <w:p w14:paraId="7ECBCDD3">
            <w:pPr>
              <w:widowControl/>
              <w:jc w:val="center"/>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资金拨付及时性</w:t>
            </w:r>
          </w:p>
        </w:tc>
        <w:tc>
          <w:tcPr>
            <w:tcW w:w="4228" w:type="dxa"/>
            <w:gridSpan w:val="2"/>
            <w:tcBorders>
              <w:tl2br w:val="nil"/>
              <w:tr2bl w:val="nil"/>
            </w:tcBorders>
            <w:vAlign w:val="center"/>
          </w:tcPr>
          <w:p w14:paraId="1BE04FC8">
            <w:pPr>
              <w:widowControl/>
              <w:jc w:val="center"/>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及时</w:t>
            </w:r>
          </w:p>
        </w:tc>
      </w:tr>
      <w:tr w14:paraId="6829F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1F1DC2E6">
            <w:pPr>
              <w:jc w:val="center"/>
              <w:rPr>
                <w:rFonts w:ascii="宋体" w:cs="宋体"/>
                <w:sz w:val="20"/>
              </w:rPr>
            </w:pPr>
          </w:p>
        </w:tc>
        <w:tc>
          <w:tcPr>
            <w:tcW w:w="723" w:type="dxa"/>
            <w:vMerge w:val="continue"/>
            <w:tcBorders>
              <w:tl2br w:val="nil"/>
              <w:tr2bl w:val="nil"/>
            </w:tcBorders>
            <w:vAlign w:val="center"/>
          </w:tcPr>
          <w:p w14:paraId="0E90FBA5">
            <w:pPr>
              <w:jc w:val="center"/>
              <w:rPr>
                <w:rFonts w:ascii="宋体" w:cs="宋体"/>
                <w:sz w:val="20"/>
              </w:rPr>
            </w:pPr>
          </w:p>
        </w:tc>
        <w:tc>
          <w:tcPr>
            <w:tcW w:w="759" w:type="dxa"/>
            <w:gridSpan w:val="2"/>
            <w:tcBorders>
              <w:tl2br w:val="nil"/>
              <w:tr2bl w:val="nil"/>
            </w:tcBorders>
            <w:vAlign w:val="center"/>
          </w:tcPr>
          <w:p w14:paraId="51102625">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成本指标</w:t>
            </w:r>
          </w:p>
        </w:tc>
        <w:tc>
          <w:tcPr>
            <w:tcW w:w="2872" w:type="dxa"/>
            <w:tcBorders>
              <w:tl2br w:val="nil"/>
              <w:tr2bl w:val="nil"/>
            </w:tcBorders>
            <w:vAlign w:val="center"/>
          </w:tcPr>
          <w:p w14:paraId="490D91DC">
            <w:pPr>
              <w:widowControl/>
              <w:jc w:val="center"/>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成本控制在预算内</w:t>
            </w:r>
          </w:p>
        </w:tc>
        <w:tc>
          <w:tcPr>
            <w:tcW w:w="4228" w:type="dxa"/>
            <w:gridSpan w:val="2"/>
            <w:tcBorders>
              <w:tl2br w:val="nil"/>
              <w:tr2bl w:val="nil"/>
            </w:tcBorders>
            <w:vAlign w:val="center"/>
          </w:tcPr>
          <w:p w14:paraId="648EC83E">
            <w:pPr>
              <w:widowControl/>
              <w:jc w:val="center"/>
              <w:textAlignment w:val="center"/>
              <w:rPr>
                <w:rFonts w:hint="eastAsia" w:ascii="宋体" w:hAnsi="宋体" w:eastAsia="宋体" w:cs="宋体"/>
                <w:color w:val="000000"/>
                <w:kern w:val="0"/>
                <w:sz w:val="20"/>
                <w:szCs w:val="20"/>
                <w:lang w:val="en-US" w:eastAsia="zh-CN"/>
              </w:rPr>
            </w:pPr>
            <w:r>
              <w:rPr>
                <w:rFonts w:hint="eastAsia" w:ascii="Times New Roman" w:hAnsi="Times New Roman" w:eastAsia="宋体" w:cs="Times New Roman"/>
                <w:color w:val="000000"/>
                <w:kern w:val="0"/>
                <w:sz w:val="20"/>
                <w:szCs w:val="20"/>
                <w:lang w:val="en-US" w:eastAsia="zh-CN"/>
              </w:rPr>
              <w:t>56000</w:t>
            </w:r>
            <w:r>
              <w:rPr>
                <w:rFonts w:hint="eastAsia" w:ascii="宋体" w:hAnsi="宋体" w:eastAsia="宋体" w:cs="宋体"/>
                <w:color w:val="000000"/>
                <w:kern w:val="0"/>
                <w:sz w:val="20"/>
                <w:szCs w:val="20"/>
                <w:lang w:val="en-US" w:eastAsia="zh-CN"/>
              </w:rPr>
              <w:t>元</w:t>
            </w:r>
          </w:p>
        </w:tc>
      </w:tr>
      <w:tr w14:paraId="09F2B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69F9E126">
            <w:pPr>
              <w:jc w:val="center"/>
              <w:rPr>
                <w:rFonts w:ascii="宋体" w:cs="宋体"/>
                <w:sz w:val="20"/>
              </w:rPr>
            </w:pPr>
          </w:p>
        </w:tc>
        <w:tc>
          <w:tcPr>
            <w:tcW w:w="723" w:type="dxa"/>
            <w:vMerge w:val="restart"/>
            <w:tcBorders>
              <w:tl2br w:val="nil"/>
              <w:tr2bl w:val="nil"/>
            </w:tcBorders>
            <w:vAlign w:val="center"/>
          </w:tcPr>
          <w:p w14:paraId="197BE91C">
            <w:pPr>
              <w:widowControl/>
              <w:jc w:val="center"/>
              <w:textAlignment w:val="center"/>
              <w:rPr>
                <w:rFonts w:ascii="宋体" w:cs="宋体"/>
                <w:sz w:val="20"/>
              </w:rPr>
            </w:pPr>
            <w:r>
              <w:rPr>
                <w:rFonts w:hint="eastAsia" w:ascii="宋体" w:hAnsi="宋体" w:eastAsia="宋体" w:cs="宋体"/>
                <w:color w:val="000000"/>
                <w:kern w:val="0"/>
                <w:sz w:val="20"/>
                <w:szCs w:val="20"/>
              </w:rPr>
              <w:t>效益指标</w:t>
            </w:r>
          </w:p>
        </w:tc>
        <w:tc>
          <w:tcPr>
            <w:tcW w:w="759" w:type="dxa"/>
            <w:gridSpan w:val="2"/>
            <w:tcBorders>
              <w:tl2br w:val="nil"/>
              <w:tr2bl w:val="nil"/>
            </w:tcBorders>
            <w:vAlign w:val="center"/>
          </w:tcPr>
          <w:p w14:paraId="12600789">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经济效益指标</w:t>
            </w:r>
          </w:p>
        </w:tc>
        <w:tc>
          <w:tcPr>
            <w:tcW w:w="2872" w:type="dxa"/>
            <w:tcBorders>
              <w:tl2br w:val="nil"/>
              <w:tr2bl w:val="nil"/>
            </w:tcBorders>
            <w:vAlign w:val="center"/>
          </w:tcPr>
          <w:p w14:paraId="20EB8EA1">
            <w:pPr>
              <w:widowControl/>
              <w:jc w:val="center"/>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以科技促进经济发展</w:t>
            </w:r>
          </w:p>
        </w:tc>
        <w:tc>
          <w:tcPr>
            <w:tcW w:w="4228" w:type="dxa"/>
            <w:gridSpan w:val="2"/>
            <w:tcBorders>
              <w:tl2br w:val="nil"/>
              <w:tr2bl w:val="nil"/>
            </w:tcBorders>
            <w:vAlign w:val="center"/>
          </w:tcPr>
          <w:p w14:paraId="3F930B06">
            <w:pPr>
              <w:widowControl/>
              <w:jc w:val="center"/>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效果一般</w:t>
            </w:r>
          </w:p>
        </w:tc>
      </w:tr>
      <w:tr w14:paraId="322C5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37E464D4">
            <w:pPr>
              <w:jc w:val="center"/>
              <w:rPr>
                <w:rFonts w:ascii="宋体" w:cs="宋体"/>
                <w:sz w:val="20"/>
              </w:rPr>
            </w:pPr>
          </w:p>
        </w:tc>
        <w:tc>
          <w:tcPr>
            <w:tcW w:w="723" w:type="dxa"/>
            <w:vMerge w:val="continue"/>
            <w:tcBorders>
              <w:tl2br w:val="nil"/>
              <w:tr2bl w:val="nil"/>
            </w:tcBorders>
            <w:vAlign w:val="center"/>
          </w:tcPr>
          <w:p w14:paraId="3B16692B">
            <w:pPr>
              <w:jc w:val="center"/>
              <w:rPr>
                <w:rFonts w:ascii="宋体" w:cs="宋体"/>
                <w:sz w:val="20"/>
              </w:rPr>
            </w:pPr>
          </w:p>
        </w:tc>
        <w:tc>
          <w:tcPr>
            <w:tcW w:w="759" w:type="dxa"/>
            <w:gridSpan w:val="2"/>
            <w:tcBorders>
              <w:tl2br w:val="nil"/>
              <w:tr2bl w:val="nil"/>
            </w:tcBorders>
            <w:vAlign w:val="center"/>
          </w:tcPr>
          <w:p w14:paraId="0C62502D">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社会效益指标</w:t>
            </w:r>
          </w:p>
        </w:tc>
        <w:tc>
          <w:tcPr>
            <w:tcW w:w="2872" w:type="dxa"/>
            <w:tcBorders>
              <w:tl2br w:val="nil"/>
              <w:tr2bl w:val="nil"/>
            </w:tcBorders>
            <w:vAlign w:val="center"/>
          </w:tcPr>
          <w:p w14:paraId="0DBC9329">
            <w:pPr>
              <w:widowControl/>
              <w:jc w:val="center"/>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激发科技工作者工作热情</w:t>
            </w:r>
          </w:p>
        </w:tc>
        <w:tc>
          <w:tcPr>
            <w:tcW w:w="4228" w:type="dxa"/>
            <w:gridSpan w:val="2"/>
            <w:tcBorders>
              <w:tl2br w:val="nil"/>
              <w:tr2bl w:val="nil"/>
            </w:tcBorders>
            <w:vAlign w:val="center"/>
          </w:tcPr>
          <w:p w14:paraId="010F2519">
            <w:pPr>
              <w:widowControl/>
              <w:jc w:val="center"/>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效果显著</w:t>
            </w:r>
          </w:p>
        </w:tc>
      </w:tr>
      <w:tr w14:paraId="4C7C6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556409B4">
            <w:pPr>
              <w:jc w:val="center"/>
              <w:rPr>
                <w:rFonts w:ascii="宋体" w:cs="宋体"/>
                <w:sz w:val="20"/>
              </w:rPr>
            </w:pPr>
          </w:p>
        </w:tc>
        <w:tc>
          <w:tcPr>
            <w:tcW w:w="723" w:type="dxa"/>
            <w:vMerge w:val="continue"/>
            <w:tcBorders>
              <w:tl2br w:val="nil"/>
              <w:tr2bl w:val="nil"/>
            </w:tcBorders>
            <w:vAlign w:val="center"/>
          </w:tcPr>
          <w:p w14:paraId="05C8D8E8">
            <w:pPr>
              <w:jc w:val="center"/>
              <w:rPr>
                <w:rFonts w:ascii="宋体" w:cs="宋体"/>
                <w:sz w:val="20"/>
              </w:rPr>
            </w:pPr>
          </w:p>
        </w:tc>
        <w:tc>
          <w:tcPr>
            <w:tcW w:w="759" w:type="dxa"/>
            <w:gridSpan w:val="2"/>
            <w:tcBorders>
              <w:tl2br w:val="nil"/>
              <w:tr2bl w:val="nil"/>
            </w:tcBorders>
            <w:vAlign w:val="center"/>
          </w:tcPr>
          <w:p w14:paraId="2F4510D5">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生态效益指标</w:t>
            </w:r>
          </w:p>
        </w:tc>
        <w:tc>
          <w:tcPr>
            <w:tcW w:w="2872" w:type="dxa"/>
            <w:tcBorders>
              <w:tl2br w:val="nil"/>
              <w:tr2bl w:val="nil"/>
            </w:tcBorders>
            <w:vAlign w:val="center"/>
          </w:tcPr>
          <w:p w14:paraId="1BE493C6">
            <w:pPr>
              <w:widowControl/>
              <w:jc w:val="center"/>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提升公民环保理念</w:t>
            </w:r>
          </w:p>
        </w:tc>
        <w:tc>
          <w:tcPr>
            <w:tcW w:w="4228" w:type="dxa"/>
            <w:gridSpan w:val="2"/>
            <w:tcBorders>
              <w:tl2br w:val="nil"/>
              <w:tr2bl w:val="nil"/>
            </w:tcBorders>
            <w:vAlign w:val="center"/>
          </w:tcPr>
          <w:p w14:paraId="74DCF8A7">
            <w:pPr>
              <w:widowControl/>
              <w:jc w:val="center"/>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效果一般</w:t>
            </w:r>
          </w:p>
        </w:tc>
      </w:tr>
      <w:tr w14:paraId="4ED5B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438" w:type="dxa"/>
            <w:vMerge w:val="continue"/>
            <w:tcBorders>
              <w:tl2br w:val="nil"/>
              <w:tr2bl w:val="nil"/>
            </w:tcBorders>
            <w:vAlign w:val="center"/>
          </w:tcPr>
          <w:p w14:paraId="4A4AD9BD">
            <w:pPr>
              <w:jc w:val="center"/>
              <w:rPr>
                <w:rFonts w:ascii="宋体" w:cs="宋体"/>
                <w:sz w:val="20"/>
              </w:rPr>
            </w:pPr>
          </w:p>
        </w:tc>
        <w:tc>
          <w:tcPr>
            <w:tcW w:w="723" w:type="dxa"/>
            <w:vMerge w:val="continue"/>
            <w:tcBorders>
              <w:tl2br w:val="nil"/>
              <w:tr2bl w:val="nil"/>
            </w:tcBorders>
            <w:vAlign w:val="center"/>
          </w:tcPr>
          <w:p w14:paraId="2CF11930">
            <w:pPr>
              <w:jc w:val="center"/>
              <w:rPr>
                <w:rFonts w:ascii="宋体" w:cs="宋体"/>
                <w:sz w:val="20"/>
              </w:rPr>
            </w:pPr>
          </w:p>
        </w:tc>
        <w:tc>
          <w:tcPr>
            <w:tcW w:w="759" w:type="dxa"/>
            <w:gridSpan w:val="2"/>
            <w:tcBorders>
              <w:tl2br w:val="nil"/>
              <w:tr2bl w:val="nil"/>
            </w:tcBorders>
            <w:vAlign w:val="center"/>
          </w:tcPr>
          <w:p w14:paraId="319AB128">
            <w:pPr>
              <w:widowControl/>
              <w:spacing w:line="200" w:lineRule="exact"/>
              <w:jc w:val="center"/>
              <w:rPr>
                <w:rFonts w:ascii="宋体" w:hAnsi="宋体" w:eastAsia="宋体" w:cs="宋体"/>
                <w:sz w:val="20"/>
              </w:rPr>
            </w:pPr>
            <w:r>
              <w:rPr>
                <w:rFonts w:hint="eastAsia" w:ascii="宋体" w:hAnsi="宋体" w:eastAsia="宋体" w:cs="宋体"/>
                <w:sz w:val="20"/>
              </w:rPr>
              <w:t>可持续影响指标</w:t>
            </w:r>
          </w:p>
        </w:tc>
        <w:tc>
          <w:tcPr>
            <w:tcW w:w="2872" w:type="dxa"/>
            <w:tcBorders>
              <w:tl2br w:val="nil"/>
              <w:tr2bl w:val="nil"/>
            </w:tcBorders>
            <w:vAlign w:val="center"/>
          </w:tcPr>
          <w:p w14:paraId="4886AB12">
            <w:pPr>
              <w:widowControl/>
              <w:jc w:val="center"/>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促进科技人才成长</w:t>
            </w:r>
          </w:p>
        </w:tc>
        <w:tc>
          <w:tcPr>
            <w:tcW w:w="4228" w:type="dxa"/>
            <w:gridSpan w:val="2"/>
            <w:tcBorders>
              <w:tl2br w:val="nil"/>
              <w:tr2bl w:val="nil"/>
            </w:tcBorders>
            <w:vAlign w:val="center"/>
          </w:tcPr>
          <w:p w14:paraId="7CB63BF6">
            <w:pPr>
              <w:widowControl/>
              <w:jc w:val="center"/>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效果显著</w:t>
            </w:r>
          </w:p>
        </w:tc>
      </w:tr>
      <w:tr w14:paraId="5CA11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5CB17347">
            <w:pPr>
              <w:jc w:val="center"/>
              <w:rPr>
                <w:rFonts w:ascii="宋体" w:cs="宋体"/>
                <w:sz w:val="20"/>
              </w:rPr>
            </w:pPr>
          </w:p>
        </w:tc>
        <w:tc>
          <w:tcPr>
            <w:tcW w:w="723" w:type="dxa"/>
            <w:tcBorders>
              <w:tl2br w:val="nil"/>
              <w:tr2bl w:val="nil"/>
            </w:tcBorders>
            <w:vAlign w:val="center"/>
          </w:tcPr>
          <w:p w14:paraId="21DA9AC4">
            <w:pPr>
              <w:widowControl/>
              <w:spacing w:line="200" w:lineRule="exact"/>
              <w:jc w:val="center"/>
              <w:rPr>
                <w:rFonts w:ascii="宋体" w:hAnsi="宋体" w:eastAsia="宋体" w:cs="宋体"/>
                <w:sz w:val="20"/>
              </w:rPr>
            </w:pPr>
            <w:r>
              <w:rPr>
                <w:rFonts w:hint="eastAsia" w:ascii="宋体" w:hAnsi="宋体" w:eastAsia="宋体" w:cs="宋体"/>
                <w:sz w:val="20"/>
              </w:rPr>
              <w:t>满意度指标</w:t>
            </w:r>
          </w:p>
        </w:tc>
        <w:tc>
          <w:tcPr>
            <w:tcW w:w="759" w:type="dxa"/>
            <w:gridSpan w:val="2"/>
            <w:tcBorders>
              <w:tl2br w:val="nil"/>
              <w:tr2bl w:val="nil"/>
            </w:tcBorders>
            <w:vAlign w:val="center"/>
          </w:tcPr>
          <w:p w14:paraId="239FA9B5">
            <w:pPr>
              <w:widowControl/>
              <w:spacing w:line="200" w:lineRule="exact"/>
              <w:jc w:val="center"/>
              <w:rPr>
                <w:rFonts w:ascii="宋体" w:hAnsi="宋体" w:eastAsia="宋体" w:cs="宋体"/>
                <w:sz w:val="20"/>
              </w:rPr>
            </w:pPr>
            <w:r>
              <w:rPr>
                <w:rFonts w:hint="eastAsia" w:ascii="宋体" w:hAnsi="宋体" w:eastAsia="宋体" w:cs="宋体"/>
                <w:sz w:val="20"/>
              </w:rPr>
              <w:t>满意度指标</w:t>
            </w:r>
          </w:p>
        </w:tc>
        <w:tc>
          <w:tcPr>
            <w:tcW w:w="2872" w:type="dxa"/>
            <w:tcBorders>
              <w:tl2br w:val="nil"/>
              <w:tr2bl w:val="nil"/>
            </w:tcBorders>
            <w:vAlign w:val="center"/>
          </w:tcPr>
          <w:p w14:paraId="22349076">
            <w:pPr>
              <w:widowControl/>
              <w:jc w:val="center"/>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科技工作者满意度</w:t>
            </w:r>
          </w:p>
        </w:tc>
        <w:tc>
          <w:tcPr>
            <w:tcW w:w="4228" w:type="dxa"/>
            <w:gridSpan w:val="2"/>
            <w:tcBorders>
              <w:tl2br w:val="nil"/>
              <w:tr2bl w:val="nil"/>
            </w:tcBorders>
            <w:vAlign w:val="center"/>
          </w:tcPr>
          <w:p w14:paraId="5C7F01B5">
            <w:pPr>
              <w:widowControl/>
              <w:jc w:val="center"/>
              <w:textAlignment w:val="center"/>
              <w:rPr>
                <w:rFonts w:hint="default" w:ascii="宋体" w:hAnsi="宋体" w:eastAsia="宋体" w:cs="宋体"/>
                <w:color w:val="000000"/>
                <w:kern w:val="0"/>
                <w:sz w:val="20"/>
                <w:szCs w:val="20"/>
                <w:lang w:val="en-US" w:eastAsia="zh-CN"/>
              </w:rPr>
            </w:pPr>
            <w:r>
              <w:rPr>
                <w:rFonts w:hint="eastAsia" w:ascii="Times New Roman" w:hAnsi="Times New Roman" w:eastAsia="宋体" w:cs="Times New Roman"/>
                <w:color w:val="000000"/>
                <w:kern w:val="0"/>
                <w:sz w:val="20"/>
                <w:szCs w:val="20"/>
                <w:lang w:val="en-US" w:eastAsia="zh-CN"/>
              </w:rPr>
              <w:t>80</w:t>
            </w:r>
          </w:p>
        </w:tc>
      </w:tr>
    </w:tbl>
    <w:p w14:paraId="467F81D3">
      <w:pPr>
        <w:ind w:firstLine="640" w:firstLineChars="200"/>
        <w:rPr>
          <w:rFonts w:hint="eastAsia" w:ascii="TimesNewRoman" w:hAnsi="TimesNewRoman" w:eastAsia="仿宋_GB2312" w:cs="TimesNewRoman"/>
          <w:kern w:val="0"/>
          <w:sz w:val="32"/>
          <w:szCs w:val="32"/>
        </w:rPr>
      </w:pPr>
    </w:p>
    <w:p w14:paraId="3C430957">
      <w:pPr>
        <w:ind w:firstLine="640" w:firstLineChars="200"/>
        <w:rPr>
          <w:rFonts w:hint="eastAsia" w:ascii="TimesNewRoman" w:hAnsi="TimesNewRoman" w:eastAsia="仿宋_GB2312" w:cs="TimesNewRoman"/>
          <w:kern w:val="0"/>
          <w:sz w:val="32"/>
          <w:szCs w:val="32"/>
          <w:lang w:eastAsia="zh-CN"/>
        </w:rPr>
      </w:pPr>
      <w:r>
        <w:rPr>
          <w:rFonts w:hint="default" w:ascii="TimesNewRoman" w:hAnsi="TimesNewRoman" w:eastAsia="仿宋_GB2312" w:cs="TimesNewRoman"/>
          <w:kern w:val="0"/>
          <w:sz w:val="32"/>
          <w:szCs w:val="32"/>
          <w:lang w:val="en-US" w:eastAsia="zh-CN"/>
        </w:rPr>
        <w:t>3</w:t>
      </w:r>
      <w:r>
        <w:rPr>
          <w:rFonts w:hint="eastAsia" w:ascii="TimesNewRoman" w:hAnsi="TimesNewRoman" w:eastAsia="仿宋_GB2312" w:cs="TimesNewRoman"/>
          <w:kern w:val="0"/>
          <w:sz w:val="32"/>
          <w:szCs w:val="32"/>
          <w:lang w:eastAsia="zh-CN"/>
        </w:rPr>
        <w:t>、“科普活动经费”项目。</w:t>
      </w:r>
    </w:p>
    <w:p w14:paraId="11C437C3">
      <w:pPr>
        <w:ind w:firstLine="640" w:firstLineChars="200"/>
        <w:rPr>
          <w:rFonts w:hint="eastAsia" w:ascii="TimesNewRoman" w:hAnsi="TimesNewRoman" w:eastAsia="仿宋_GB2312" w:cs="TimesNewRoman"/>
          <w:kern w:val="0"/>
          <w:sz w:val="32"/>
          <w:szCs w:val="32"/>
          <w:lang w:eastAsia="zh-CN"/>
        </w:rPr>
      </w:pPr>
      <w:r>
        <w:rPr>
          <w:rFonts w:hint="eastAsia" w:ascii="TimesNewRoman" w:hAnsi="TimesNewRoman" w:eastAsia="仿宋_GB2312" w:cs="TimesNewRoman"/>
          <w:kern w:val="0"/>
          <w:sz w:val="32"/>
          <w:szCs w:val="32"/>
          <w:lang w:eastAsia="zh-CN"/>
        </w:rPr>
        <w:t>（</w:t>
      </w:r>
      <w:r>
        <w:rPr>
          <w:rFonts w:hint="default" w:ascii="TimesNewRoman" w:hAnsi="TimesNewRoman" w:eastAsia="仿宋_GB2312" w:cs="TimesNewRoman"/>
          <w:kern w:val="0"/>
          <w:sz w:val="32"/>
          <w:szCs w:val="32"/>
          <w:lang w:eastAsia="zh-CN"/>
        </w:rPr>
        <w:t>1</w:t>
      </w:r>
      <w:r>
        <w:rPr>
          <w:rFonts w:hint="eastAsia" w:ascii="TimesNewRoman" w:hAnsi="TimesNewRoman" w:eastAsia="仿宋_GB2312" w:cs="TimesNewRoman"/>
          <w:kern w:val="0"/>
          <w:sz w:val="32"/>
          <w:szCs w:val="32"/>
          <w:lang w:eastAsia="zh-CN"/>
        </w:rPr>
        <w:t>）项目概述。该项目资金主要用于全民科学素质建设，科技下乡，科普进社区，科普培训，青少年科普活动，全国科普日、科技活动周等科普活动以及科普宣传，科普网站建设，科普示范基地建设及科普场馆建设等。</w:t>
      </w:r>
    </w:p>
    <w:p w14:paraId="4609A1A1">
      <w:pPr>
        <w:ind w:firstLine="640" w:firstLineChars="200"/>
        <w:rPr>
          <w:rFonts w:hint="eastAsia" w:ascii="TimesNewRoman" w:hAnsi="TimesNewRoman" w:eastAsia="仿宋_GB2312" w:cs="TimesNewRoman"/>
          <w:kern w:val="0"/>
          <w:sz w:val="32"/>
          <w:szCs w:val="32"/>
          <w:lang w:eastAsia="zh-CN"/>
        </w:rPr>
      </w:pPr>
      <w:r>
        <w:rPr>
          <w:rFonts w:hint="eastAsia" w:ascii="TimesNewRoman" w:hAnsi="TimesNewRoman" w:eastAsia="仿宋_GB2312" w:cs="TimesNewRoman"/>
          <w:kern w:val="0"/>
          <w:sz w:val="32"/>
          <w:szCs w:val="32"/>
          <w:lang w:eastAsia="zh-CN"/>
        </w:rPr>
        <w:t>（</w:t>
      </w:r>
      <w:r>
        <w:rPr>
          <w:rFonts w:hint="default" w:ascii="TimesNewRoman" w:hAnsi="TimesNewRoman" w:eastAsia="仿宋_GB2312" w:cs="TimesNewRoman"/>
          <w:kern w:val="0"/>
          <w:sz w:val="32"/>
          <w:szCs w:val="32"/>
          <w:lang w:eastAsia="zh-CN"/>
        </w:rPr>
        <w:t>2</w:t>
      </w:r>
      <w:r>
        <w:rPr>
          <w:rFonts w:hint="eastAsia" w:ascii="TimesNewRoman" w:hAnsi="TimesNewRoman" w:eastAsia="仿宋_GB2312" w:cs="TimesNewRoman"/>
          <w:kern w:val="0"/>
          <w:sz w:val="32"/>
          <w:szCs w:val="32"/>
          <w:lang w:eastAsia="zh-CN"/>
        </w:rPr>
        <w:t>）立项依据。《中华人民共和国科学技术普及法》、《安徽省科学技术普及条例》、《中共安徽省委 安微省人民政府关于进一步加强科协工作发挥科协作用的决定》、《全民科学素质行政计划纲要》、《淮北市科学技术章程》及中国科协和省科协每年工作安排。</w:t>
      </w:r>
    </w:p>
    <w:p w14:paraId="0610A098">
      <w:pPr>
        <w:ind w:firstLine="640" w:firstLineChars="200"/>
        <w:rPr>
          <w:rFonts w:hint="eastAsia" w:ascii="TimesNewRoman" w:hAnsi="TimesNewRoman" w:eastAsia="仿宋_GB2312" w:cs="TimesNewRoman"/>
          <w:kern w:val="0"/>
          <w:sz w:val="32"/>
          <w:szCs w:val="32"/>
          <w:lang w:eastAsia="zh-CN"/>
        </w:rPr>
      </w:pPr>
      <w:r>
        <w:rPr>
          <w:rFonts w:hint="eastAsia" w:ascii="TimesNewRoman" w:hAnsi="TimesNewRoman" w:eastAsia="仿宋_GB2312" w:cs="TimesNewRoman"/>
          <w:kern w:val="0"/>
          <w:sz w:val="32"/>
          <w:szCs w:val="32"/>
          <w:lang w:eastAsia="zh-CN"/>
        </w:rPr>
        <w:t>（</w:t>
      </w:r>
      <w:r>
        <w:rPr>
          <w:rFonts w:hint="default" w:ascii="TimesNewRoman" w:hAnsi="TimesNewRoman" w:eastAsia="仿宋_GB2312" w:cs="TimesNewRoman"/>
          <w:kern w:val="0"/>
          <w:sz w:val="32"/>
          <w:szCs w:val="32"/>
          <w:lang w:eastAsia="zh-CN"/>
        </w:rPr>
        <w:t>3</w:t>
      </w:r>
      <w:r>
        <w:rPr>
          <w:rFonts w:hint="eastAsia" w:ascii="TimesNewRoman" w:hAnsi="TimesNewRoman" w:eastAsia="仿宋_GB2312" w:cs="TimesNewRoman"/>
          <w:kern w:val="0"/>
          <w:sz w:val="32"/>
          <w:szCs w:val="32"/>
          <w:lang w:eastAsia="zh-CN"/>
        </w:rPr>
        <w:t>）实施主体。淮北市科学技术协会（本级）</w:t>
      </w:r>
    </w:p>
    <w:p w14:paraId="3C7EC35D">
      <w:pPr>
        <w:ind w:firstLine="640" w:firstLineChars="200"/>
        <w:rPr>
          <w:rFonts w:hint="eastAsia" w:ascii="TimesNewRoman" w:hAnsi="TimesNewRoman" w:eastAsia="仿宋_GB2312" w:cs="TimesNewRoman"/>
          <w:kern w:val="0"/>
          <w:sz w:val="32"/>
          <w:szCs w:val="32"/>
          <w:lang w:val="en-US" w:eastAsia="zh-CN"/>
        </w:rPr>
      </w:pPr>
      <w:r>
        <w:rPr>
          <w:rFonts w:hint="eastAsia" w:ascii="TimesNewRoman" w:hAnsi="TimesNewRoman" w:eastAsia="仿宋_GB2312" w:cs="TimesNewRoman"/>
          <w:kern w:val="0"/>
          <w:sz w:val="32"/>
          <w:szCs w:val="32"/>
          <w:lang w:eastAsia="zh-CN"/>
        </w:rPr>
        <w:t>（</w:t>
      </w:r>
      <w:r>
        <w:rPr>
          <w:rFonts w:hint="default" w:ascii="TimesNewRoman" w:hAnsi="TimesNewRoman" w:eastAsia="仿宋_GB2312" w:cs="TimesNewRoman"/>
          <w:kern w:val="0"/>
          <w:sz w:val="32"/>
          <w:szCs w:val="32"/>
          <w:lang w:eastAsia="zh-CN"/>
        </w:rPr>
        <w:t>4</w:t>
      </w:r>
      <w:r>
        <w:rPr>
          <w:rFonts w:hint="eastAsia" w:ascii="TimesNewRoman" w:hAnsi="TimesNewRoman" w:eastAsia="仿宋_GB2312" w:cs="TimesNewRoman"/>
          <w:kern w:val="0"/>
          <w:sz w:val="32"/>
          <w:szCs w:val="32"/>
          <w:lang w:eastAsia="zh-CN"/>
        </w:rPr>
        <w:t>）起止时间。</w:t>
      </w:r>
      <w:r>
        <w:rPr>
          <w:rFonts w:hint="default" w:ascii="TimesNewRoman" w:hAnsi="TimesNewRoman" w:eastAsia="仿宋_GB2312" w:cs="TimesNewRoman"/>
          <w:kern w:val="0"/>
          <w:sz w:val="32"/>
          <w:szCs w:val="32"/>
          <w:lang w:val="en-US" w:eastAsia="zh-CN"/>
        </w:rPr>
        <w:t>202</w:t>
      </w:r>
      <w:r>
        <w:rPr>
          <w:rFonts w:hint="eastAsia" w:ascii="TimesNewRoman" w:hAnsi="TimesNewRoman" w:eastAsia="仿宋_GB2312" w:cs="TimesNewRoman"/>
          <w:kern w:val="0"/>
          <w:sz w:val="32"/>
          <w:szCs w:val="32"/>
          <w:lang w:val="en-US" w:eastAsia="zh-CN"/>
        </w:rPr>
        <w:t>5.</w:t>
      </w:r>
      <w:r>
        <w:rPr>
          <w:rFonts w:hint="default" w:ascii="TimesNewRoman" w:hAnsi="TimesNewRoman" w:eastAsia="仿宋_GB2312" w:cs="TimesNewRoman"/>
          <w:kern w:val="0"/>
          <w:sz w:val="32"/>
          <w:szCs w:val="32"/>
          <w:lang w:val="en-US" w:eastAsia="zh-CN"/>
        </w:rPr>
        <w:t>01</w:t>
      </w:r>
      <w:r>
        <w:rPr>
          <w:rFonts w:hint="eastAsia" w:ascii="TimesNewRoman" w:hAnsi="TimesNewRoman" w:eastAsia="仿宋_GB2312" w:cs="TimesNewRoman"/>
          <w:kern w:val="0"/>
          <w:sz w:val="32"/>
          <w:szCs w:val="32"/>
          <w:lang w:val="en-US" w:eastAsia="zh-CN"/>
        </w:rPr>
        <w:t>-</w:t>
      </w:r>
      <w:r>
        <w:rPr>
          <w:rFonts w:hint="default" w:ascii="TimesNewRoman" w:hAnsi="TimesNewRoman" w:eastAsia="仿宋_GB2312" w:cs="TimesNewRoman"/>
          <w:kern w:val="0"/>
          <w:sz w:val="32"/>
          <w:szCs w:val="32"/>
          <w:lang w:val="en-US" w:eastAsia="zh-CN"/>
        </w:rPr>
        <w:t>202</w:t>
      </w:r>
      <w:r>
        <w:rPr>
          <w:rFonts w:hint="eastAsia" w:ascii="TimesNewRoman" w:hAnsi="TimesNewRoman" w:eastAsia="仿宋_GB2312" w:cs="TimesNewRoman"/>
          <w:kern w:val="0"/>
          <w:sz w:val="32"/>
          <w:szCs w:val="32"/>
          <w:lang w:val="en-US" w:eastAsia="zh-CN"/>
        </w:rPr>
        <w:t>5.</w:t>
      </w:r>
      <w:r>
        <w:rPr>
          <w:rFonts w:hint="default" w:ascii="TimesNewRoman" w:hAnsi="TimesNewRoman" w:eastAsia="仿宋_GB2312" w:cs="TimesNewRoman"/>
          <w:kern w:val="0"/>
          <w:sz w:val="32"/>
          <w:szCs w:val="32"/>
          <w:lang w:val="en-US" w:eastAsia="zh-CN"/>
        </w:rPr>
        <w:t>12</w:t>
      </w:r>
    </w:p>
    <w:p w14:paraId="15F8C135">
      <w:pPr>
        <w:ind w:firstLine="640" w:firstLineChars="200"/>
        <w:rPr>
          <w:rFonts w:hint="eastAsia" w:ascii="TimesNewRoman" w:hAnsi="TimesNewRoman" w:eastAsia="仿宋_GB2312" w:cs="TimesNewRoman"/>
          <w:kern w:val="0"/>
          <w:sz w:val="32"/>
          <w:szCs w:val="32"/>
          <w:lang w:eastAsia="zh-CN"/>
        </w:rPr>
      </w:pPr>
      <w:r>
        <w:rPr>
          <w:rFonts w:hint="eastAsia" w:ascii="TimesNewRoman" w:hAnsi="TimesNewRoman" w:eastAsia="仿宋_GB2312" w:cs="TimesNewRoman"/>
          <w:kern w:val="0"/>
          <w:sz w:val="32"/>
          <w:szCs w:val="32"/>
          <w:lang w:eastAsia="zh-CN"/>
        </w:rPr>
        <w:t>（</w:t>
      </w:r>
      <w:r>
        <w:rPr>
          <w:rFonts w:hint="default" w:ascii="TimesNewRoman" w:hAnsi="TimesNewRoman" w:eastAsia="仿宋_GB2312" w:cs="TimesNewRoman"/>
          <w:kern w:val="0"/>
          <w:sz w:val="32"/>
          <w:szCs w:val="32"/>
          <w:lang w:eastAsia="zh-CN"/>
        </w:rPr>
        <w:t>5</w:t>
      </w:r>
      <w:r>
        <w:rPr>
          <w:rFonts w:hint="eastAsia" w:ascii="TimesNewRoman" w:hAnsi="TimesNewRoman" w:eastAsia="仿宋_GB2312" w:cs="TimesNewRoman"/>
          <w:kern w:val="0"/>
          <w:sz w:val="32"/>
          <w:szCs w:val="32"/>
          <w:lang w:eastAsia="zh-CN"/>
        </w:rPr>
        <w:t>）项目内容。科普是公益事业，是社会主义物质文明和精神文明建设的重要内容。发展科普事业是国家的长期任务。各级人民政府领导科普工作，应将科普工作纳入国民经济和社会发展计划，为开展科普工作创造良好的环境和条件。科学技术协会是科普工作的主要社会力量。科学技术协会组织开展群众性、社会性、经常性的科普活动，支持有关社会组织和企业事业单位开展科普活动，协助政府制定科普工作规划，为政府科普工作决策提供建议。各级人民政府应当将科普经费列入同级财政预算，逐步提高科普投入水平，保障科普工作顺利开展。各级人民政府有关部门应当安排一定的经费用于科普工作。</w:t>
      </w:r>
    </w:p>
    <w:p w14:paraId="1E408E84">
      <w:pPr>
        <w:ind w:firstLine="640" w:firstLineChars="200"/>
        <w:rPr>
          <w:rFonts w:hint="eastAsia" w:ascii="TimesNewRoman" w:hAnsi="TimesNewRoman" w:eastAsia="仿宋_GB2312" w:cs="TimesNewRoman"/>
          <w:kern w:val="0"/>
          <w:sz w:val="32"/>
          <w:szCs w:val="32"/>
          <w:lang w:val="en-US" w:eastAsia="zh-CN"/>
        </w:rPr>
      </w:pPr>
      <w:r>
        <w:rPr>
          <w:rFonts w:hint="eastAsia" w:ascii="TimesNewRoman" w:hAnsi="TimesNewRoman" w:eastAsia="仿宋_GB2312" w:cs="TimesNewRoman"/>
          <w:kern w:val="0"/>
          <w:sz w:val="32"/>
          <w:szCs w:val="32"/>
          <w:lang w:eastAsia="zh-CN"/>
        </w:rPr>
        <w:t>（</w:t>
      </w:r>
      <w:r>
        <w:rPr>
          <w:rFonts w:hint="default" w:ascii="TimesNewRoman" w:hAnsi="TimesNewRoman" w:eastAsia="仿宋_GB2312" w:cs="TimesNewRoman"/>
          <w:kern w:val="0"/>
          <w:sz w:val="32"/>
          <w:szCs w:val="32"/>
          <w:lang w:eastAsia="zh-CN"/>
        </w:rPr>
        <w:t>6</w:t>
      </w:r>
      <w:r>
        <w:rPr>
          <w:rFonts w:hint="eastAsia" w:ascii="TimesNewRoman" w:hAnsi="TimesNewRoman" w:eastAsia="仿宋_GB2312" w:cs="TimesNewRoman"/>
          <w:kern w:val="0"/>
          <w:sz w:val="32"/>
          <w:szCs w:val="32"/>
          <w:lang w:eastAsia="zh-CN"/>
        </w:rPr>
        <w:t>）年度预算安排。</w:t>
      </w:r>
      <w:r>
        <w:rPr>
          <w:rFonts w:hint="eastAsia" w:ascii="TimesNewRoman" w:hAnsi="TimesNewRoman" w:eastAsia="仿宋_GB2312" w:cs="TimesNewRoman"/>
          <w:kern w:val="0"/>
          <w:sz w:val="32"/>
          <w:szCs w:val="32"/>
          <w:lang w:val="en-US" w:eastAsia="zh-CN"/>
        </w:rPr>
        <w:t>14万元</w:t>
      </w:r>
    </w:p>
    <w:p w14:paraId="62564F16">
      <w:pPr>
        <w:ind w:firstLine="640" w:firstLineChars="200"/>
        <w:rPr>
          <w:rFonts w:hint="eastAsia" w:ascii="TimesNewRoman" w:hAnsi="TimesNewRoman" w:eastAsia="仿宋_GB2312" w:cs="TimesNewRoman"/>
          <w:kern w:val="0"/>
          <w:sz w:val="32"/>
          <w:szCs w:val="32"/>
          <w:lang w:eastAsia="zh-CN"/>
        </w:rPr>
      </w:pPr>
      <w:r>
        <w:rPr>
          <w:rFonts w:hint="eastAsia" w:ascii="TimesNewRoman" w:hAnsi="TimesNewRoman" w:eastAsia="仿宋_GB2312" w:cs="TimesNewRoman"/>
          <w:kern w:val="0"/>
          <w:sz w:val="32"/>
          <w:szCs w:val="32"/>
          <w:lang w:eastAsia="zh-CN"/>
        </w:rPr>
        <w:t>（</w:t>
      </w:r>
      <w:r>
        <w:rPr>
          <w:rFonts w:hint="default" w:ascii="TimesNewRoman" w:hAnsi="TimesNewRoman" w:eastAsia="仿宋_GB2312" w:cs="TimesNewRoman"/>
          <w:kern w:val="0"/>
          <w:sz w:val="32"/>
          <w:szCs w:val="32"/>
          <w:lang w:eastAsia="zh-CN"/>
        </w:rPr>
        <w:t>7</w:t>
      </w:r>
      <w:r>
        <w:rPr>
          <w:rFonts w:hint="eastAsia" w:ascii="TimesNewRoman" w:hAnsi="TimesNewRoman" w:eastAsia="仿宋_GB2312" w:cs="TimesNewRoman"/>
          <w:kern w:val="0"/>
          <w:sz w:val="32"/>
          <w:szCs w:val="32"/>
          <w:lang w:eastAsia="zh-CN"/>
        </w:rPr>
        <w:t>）绩效目标。</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
        <w:gridCol w:w="723"/>
        <w:gridCol w:w="282"/>
        <w:gridCol w:w="477"/>
        <w:gridCol w:w="3161"/>
        <w:gridCol w:w="1559"/>
        <w:gridCol w:w="2380"/>
      </w:tblGrid>
      <w:tr w14:paraId="641C6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9020" w:type="dxa"/>
            <w:gridSpan w:val="7"/>
            <w:tcBorders>
              <w:top w:val="nil"/>
              <w:left w:val="nil"/>
              <w:bottom w:val="nil"/>
              <w:right w:val="nil"/>
            </w:tcBorders>
            <w:vAlign w:val="center"/>
          </w:tcPr>
          <w:p w14:paraId="06B53485">
            <w:pPr>
              <w:widowControl/>
              <w:jc w:val="center"/>
              <w:textAlignment w:val="center"/>
              <w:rPr>
                <w:rFonts w:ascii="宋体" w:cs="宋体"/>
                <w:b/>
                <w:bCs/>
                <w:szCs w:val="32"/>
              </w:rPr>
            </w:pPr>
            <w:r>
              <w:rPr>
                <w:rFonts w:hint="eastAsia" w:ascii="宋体" w:hAnsi="宋体" w:eastAsia="宋体" w:cs="宋体"/>
                <w:b/>
                <w:color w:val="000000"/>
                <w:kern w:val="0"/>
                <w:sz w:val="28"/>
                <w:szCs w:val="28"/>
              </w:rPr>
              <w:t>项目支出绩效目标表</w:t>
            </w:r>
          </w:p>
        </w:tc>
      </w:tr>
      <w:tr w14:paraId="5A3D4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020" w:type="dxa"/>
            <w:gridSpan w:val="7"/>
            <w:tcBorders>
              <w:top w:val="nil"/>
              <w:left w:val="nil"/>
              <w:right w:val="nil"/>
            </w:tcBorders>
            <w:vAlign w:val="center"/>
          </w:tcPr>
          <w:p w14:paraId="340313F9">
            <w:pPr>
              <w:widowControl/>
              <w:jc w:val="center"/>
              <w:textAlignment w:val="center"/>
              <w:rPr>
                <w:rFonts w:ascii="宋体" w:cs="宋体"/>
                <w:sz w:val="20"/>
              </w:rPr>
            </w:pPr>
            <w:r>
              <w:rPr>
                <w:rFonts w:hint="eastAsia" w:ascii="宋体" w:hAnsi="宋体" w:eastAsia="宋体" w:cs="宋体"/>
                <w:color w:val="000000"/>
                <w:kern w:val="0"/>
                <w:sz w:val="20"/>
                <w:szCs w:val="20"/>
              </w:rPr>
              <w:t xml:space="preserve"> （</w:t>
            </w:r>
            <w:r>
              <w:rPr>
                <w:rFonts w:hint="default" w:ascii="Times New Roman" w:hAnsi="Times New Roman" w:eastAsia="宋体" w:cs="Times New Roman"/>
                <w:color w:val="000000"/>
                <w:kern w:val="0"/>
                <w:sz w:val="20"/>
                <w:szCs w:val="20"/>
              </w:rPr>
              <w:t>2024</w:t>
            </w:r>
            <w:r>
              <w:rPr>
                <w:rFonts w:hint="eastAsia" w:ascii="宋体" w:hAnsi="宋体" w:eastAsia="宋体" w:cs="宋体"/>
                <w:color w:val="000000"/>
                <w:kern w:val="0"/>
                <w:sz w:val="20"/>
                <w:szCs w:val="20"/>
              </w:rPr>
              <w:t xml:space="preserve">年度）                                </w:t>
            </w:r>
          </w:p>
        </w:tc>
      </w:tr>
      <w:tr w14:paraId="7A5C2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vAlign w:val="center"/>
          </w:tcPr>
          <w:p w14:paraId="660A3ACE">
            <w:pPr>
              <w:widowControl/>
              <w:jc w:val="center"/>
              <w:textAlignment w:val="center"/>
              <w:rPr>
                <w:rFonts w:ascii="宋体" w:cs="宋体"/>
                <w:sz w:val="20"/>
              </w:rPr>
            </w:pPr>
            <w:r>
              <w:rPr>
                <w:rFonts w:hint="eastAsia" w:ascii="宋体" w:hAnsi="宋体" w:eastAsia="宋体" w:cs="宋体"/>
                <w:color w:val="000000"/>
                <w:kern w:val="0"/>
                <w:sz w:val="20"/>
                <w:szCs w:val="20"/>
              </w:rPr>
              <w:t>项目名称</w:t>
            </w:r>
          </w:p>
        </w:tc>
        <w:tc>
          <w:tcPr>
            <w:tcW w:w="7577" w:type="dxa"/>
            <w:gridSpan w:val="4"/>
            <w:tcBorders>
              <w:tl2br w:val="nil"/>
              <w:tr2bl w:val="nil"/>
            </w:tcBorders>
            <w:vAlign w:val="center"/>
          </w:tcPr>
          <w:p w14:paraId="25AFA9E1">
            <w:pPr>
              <w:widowControl/>
              <w:jc w:val="center"/>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科普活动经费</w:t>
            </w:r>
          </w:p>
        </w:tc>
      </w:tr>
      <w:tr w14:paraId="69311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443" w:type="dxa"/>
            <w:gridSpan w:val="3"/>
            <w:tcBorders>
              <w:tl2br w:val="nil"/>
              <w:tr2bl w:val="nil"/>
            </w:tcBorders>
            <w:vAlign w:val="center"/>
          </w:tcPr>
          <w:p w14:paraId="65D65240">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主管部门   及代码</w:t>
            </w:r>
          </w:p>
        </w:tc>
        <w:tc>
          <w:tcPr>
            <w:tcW w:w="3638" w:type="dxa"/>
            <w:gridSpan w:val="2"/>
            <w:tcBorders>
              <w:tl2br w:val="nil"/>
              <w:tr2bl w:val="nil"/>
            </w:tcBorders>
            <w:vAlign w:val="center"/>
          </w:tcPr>
          <w:p w14:paraId="0A9655F2">
            <w:pPr>
              <w:widowControl/>
              <w:jc w:val="center"/>
              <w:textAlignment w:val="center"/>
              <w:rPr>
                <w:rFonts w:hint="eastAsia" w:ascii="宋体" w:hAnsi="宋体" w:eastAsia="宋体" w:cs="宋体"/>
                <w:color w:val="000000"/>
                <w:kern w:val="0"/>
                <w:sz w:val="20"/>
                <w:szCs w:val="20"/>
              </w:rPr>
            </w:pPr>
            <w:r>
              <w:rPr>
                <w:rFonts w:hint="default" w:ascii="Times New Roman" w:hAnsi="Times New Roman" w:eastAsia="宋体" w:cs="Times New Roman"/>
                <w:color w:val="000000"/>
                <w:kern w:val="0"/>
                <w:sz w:val="20"/>
                <w:szCs w:val="20"/>
              </w:rPr>
              <w:t>067</w:t>
            </w:r>
            <w:r>
              <w:rPr>
                <w:rFonts w:hint="eastAsia" w:ascii="宋体" w:hAnsi="宋体" w:eastAsia="宋体" w:cs="宋体"/>
                <w:color w:val="000000"/>
                <w:kern w:val="0"/>
                <w:sz w:val="20"/>
                <w:szCs w:val="20"/>
              </w:rPr>
              <w:t>-淮北市科学技术协会</w:t>
            </w:r>
          </w:p>
        </w:tc>
        <w:tc>
          <w:tcPr>
            <w:tcW w:w="1559" w:type="dxa"/>
            <w:tcBorders>
              <w:tl2br w:val="nil"/>
              <w:tr2bl w:val="nil"/>
            </w:tcBorders>
            <w:vAlign w:val="center"/>
          </w:tcPr>
          <w:p w14:paraId="6EE63E71">
            <w:pPr>
              <w:widowControl/>
              <w:jc w:val="center"/>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实施单位</w:t>
            </w:r>
          </w:p>
        </w:tc>
        <w:tc>
          <w:tcPr>
            <w:tcW w:w="2380" w:type="dxa"/>
            <w:tcBorders>
              <w:tl2br w:val="nil"/>
              <w:tr2bl w:val="nil"/>
            </w:tcBorders>
            <w:vAlign w:val="center"/>
          </w:tcPr>
          <w:p w14:paraId="06B8C384">
            <w:pPr>
              <w:widowControl/>
              <w:jc w:val="center"/>
              <w:textAlignment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eastAsia="zh-CN"/>
              </w:rPr>
              <w:t>淮北市科学技术协会（本级）</w:t>
            </w:r>
          </w:p>
          <w:p w14:paraId="2EC90F42">
            <w:pPr>
              <w:widowControl/>
              <w:jc w:val="center"/>
              <w:textAlignment w:val="center"/>
              <w:rPr>
                <w:rFonts w:hint="eastAsia" w:ascii="宋体" w:hAnsi="宋体" w:eastAsia="宋体" w:cs="宋体"/>
                <w:color w:val="000000"/>
                <w:kern w:val="0"/>
                <w:sz w:val="20"/>
                <w:szCs w:val="20"/>
              </w:rPr>
            </w:pPr>
          </w:p>
        </w:tc>
      </w:tr>
      <w:tr w14:paraId="71D19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vAlign w:val="center"/>
          </w:tcPr>
          <w:p w14:paraId="56DF988C">
            <w:pPr>
              <w:widowControl/>
              <w:jc w:val="center"/>
              <w:textAlignment w:val="center"/>
              <w:rPr>
                <w:rFonts w:ascii="宋体" w:cs="宋体"/>
                <w:sz w:val="20"/>
              </w:rPr>
            </w:pPr>
            <w:r>
              <w:rPr>
                <w:rFonts w:hint="eastAsia" w:ascii="宋体" w:hAnsi="宋体" w:eastAsia="宋体" w:cs="宋体"/>
                <w:color w:val="000000"/>
                <w:kern w:val="0"/>
                <w:sz w:val="20"/>
                <w:szCs w:val="20"/>
              </w:rPr>
              <w:t>项目来源</w:t>
            </w:r>
          </w:p>
        </w:tc>
        <w:tc>
          <w:tcPr>
            <w:tcW w:w="3638" w:type="dxa"/>
            <w:gridSpan w:val="2"/>
            <w:tcBorders>
              <w:tl2br w:val="nil"/>
              <w:tr2bl w:val="nil"/>
            </w:tcBorders>
            <w:vAlign w:val="center"/>
          </w:tcPr>
          <w:p w14:paraId="0B5B8B8B">
            <w:pPr>
              <w:widowControl/>
              <w:jc w:val="center"/>
              <w:textAlignment w:val="center"/>
              <w:rPr>
                <w:rFonts w:hint="eastAsia" w:ascii="宋体" w:hAnsi="宋体" w:eastAsia="宋体" w:cs="宋体"/>
                <w:color w:val="000000"/>
                <w:kern w:val="0"/>
                <w:sz w:val="20"/>
                <w:szCs w:val="20"/>
              </w:rPr>
            </w:pPr>
            <w:r>
              <w:rPr>
                <w:rFonts w:hint="default" w:ascii="Times New Roman" w:hAnsi="Times New Roman" w:eastAsia="宋体" w:cs="Times New Roman"/>
                <w:color w:val="000000"/>
                <w:kern w:val="0"/>
                <w:sz w:val="20"/>
                <w:szCs w:val="20"/>
              </w:rPr>
              <w:t>1</w:t>
            </w:r>
            <w:r>
              <w:rPr>
                <w:rFonts w:hint="eastAsia" w:ascii="宋体" w:hAnsi="宋体" w:eastAsia="宋体" w:cs="宋体"/>
                <w:color w:val="000000"/>
                <w:kern w:val="0"/>
                <w:sz w:val="20"/>
                <w:szCs w:val="20"/>
              </w:rPr>
              <w:t>-本级申报项目</w:t>
            </w:r>
          </w:p>
        </w:tc>
        <w:tc>
          <w:tcPr>
            <w:tcW w:w="1559" w:type="dxa"/>
            <w:tcBorders>
              <w:tl2br w:val="nil"/>
              <w:tr2bl w:val="nil"/>
            </w:tcBorders>
            <w:vAlign w:val="center"/>
          </w:tcPr>
          <w:p w14:paraId="3724A5F3">
            <w:pPr>
              <w:widowControl/>
              <w:jc w:val="center"/>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项目期</w:t>
            </w:r>
          </w:p>
        </w:tc>
        <w:tc>
          <w:tcPr>
            <w:tcW w:w="2380" w:type="dxa"/>
            <w:tcBorders>
              <w:tl2br w:val="nil"/>
              <w:tr2bl w:val="nil"/>
            </w:tcBorders>
            <w:vAlign w:val="center"/>
          </w:tcPr>
          <w:p w14:paraId="5A151C80">
            <w:pPr>
              <w:widowControl/>
              <w:jc w:val="center"/>
              <w:textAlignment w:val="center"/>
              <w:rPr>
                <w:rFonts w:hint="eastAsia" w:ascii="宋体" w:hAnsi="宋体" w:eastAsia="宋体" w:cs="宋体"/>
                <w:color w:val="000000"/>
                <w:kern w:val="0"/>
                <w:sz w:val="20"/>
                <w:szCs w:val="20"/>
              </w:rPr>
            </w:pPr>
            <w:r>
              <w:rPr>
                <w:rFonts w:hint="default" w:ascii="Times New Roman" w:hAnsi="Times New Roman" w:eastAsia="宋体" w:cs="Times New Roman"/>
                <w:color w:val="000000"/>
                <w:kern w:val="0"/>
                <w:sz w:val="20"/>
                <w:szCs w:val="20"/>
                <w:lang w:val="en-US" w:eastAsia="zh-CN"/>
              </w:rPr>
              <w:t>1</w:t>
            </w:r>
            <w:r>
              <w:rPr>
                <w:rFonts w:hint="eastAsia" w:ascii="宋体" w:hAnsi="宋体" w:eastAsia="宋体" w:cs="宋体"/>
                <w:color w:val="000000"/>
                <w:kern w:val="0"/>
                <w:sz w:val="20"/>
                <w:szCs w:val="20"/>
                <w:lang w:val="en-US" w:eastAsia="zh-CN"/>
              </w:rPr>
              <w:t>年</w:t>
            </w:r>
          </w:p>
        </w:tc>
      </w:tr>
      <w:tr w14:paraId="0B031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restart"/>
            <w:tcBorders>
              <w:tl2br w:val="nil"/>
              <w:tr2bl w:val="nil"/>
            </w:tcBorders>
            <w:vAlign w:val="center"/>
          </w:tcPr>
          <w:p w14:paraId="4FCB5121">
            <w:pPr>
              <w:widowControl/>
              <w:jc w:val="center"/>
              <w:textAlignment w:val="center"/>
              <w:rPr>
                <w:rFonts w:ascii="宋体" w:cs="宋体"/>
                <w:sz w:val="20"/>
              </w:rPr>
            </w:pPr>
            <w:r>
              <w:rPr>
                <w:rFonts w:hint="eastAsia" w:ascii="宋体" w:hAnsi="宋体" w:eastAsia="宋体" w:cs="宋体"/>
                <w:color w:val="000000"/>
                <w:kern w:val="0"/>
                <w:sz w:val="20"/>
                <w:szCs w:val="20"/>
              </w:rPr>
              <w:t>项目资金</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（万元）</w:t>
            </w:r>
          </w:p>
        </w:tc>
        <w:tc>
          <w:tcPr>
            <w:tcW w:w="3638" w:type="dxa"/>
            <w:gridSpan w:val="2"/>
            <w:tcBorders>
              <w:tl2br w:val="nil"/>
              <w:tr2bl w:val="nil"/>
            </w:tcBorders>
            <w:vAlign w:val="center"/>
          </w:tcPr>
          <w:p w14:paraId="29F1B773">
            <w:pPr>
              <w:widowControl/>
              <w:jc w:val="center"/>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 年度资金总额：</w:t>
            </w:r>
          </w:p>
        </w:tc>
        <w:tc>
          <w:tcPr>
            <w:tcW w:w="3939" w:type="dxa"/>
            <w:gridSpan w:val="2"/>
            <w:tcBorders>
              <w:tl2br w:val="nil"/>
              <w:tr2bl w:val="nil"/>
            </w:tcBorders>
            <w:vAlign w:val="center"/>
          </w:tcPr>
          <w:p w14:paraId="28339D7C">
            <w:pPr>
              <w:widowControl/>
              <w:jc w:val="center"/>
              <w:textAlignment w:val="center"/>
              <w:rPr>
                <w:rFonts w:hint="eastAsia" w:ascii="宋体" w:hAnsi="宋体" w:eastAsia="宋体" w:cs="宋体"/>
                <w:color w:val="000000"/>
                <w:kern w:val="0"/>
                <w:sz w:val="20"/>
                <w:szCs w:val="20"/>
              </w:rPr>
            </w:pPr>
            <w:r>
              <w:rPr>
                <w:rFonts w:hint="eastAsia" w:ascii="Times New Roman" w:hAnsi="Times New Roman" w:eastAsia="宋体" w:cs="Times New Roman"/>
                <w:color w:val="000000"/>
                <w:kern w:val="0"/>
                <w:sz w:val="20"/>
                <w:szCs w:val="20"/>
                <w:lang w:val="en-US" w:eastAsia="zh-CN"/>
              </w:rPr>
              <w:t>14</w:t>
            </w:r>
            <w:r>
              <w:rPr>
                <w:rFonts w:hint="eastAsia" w:ascii="宋体" w:hAnsi="宋体" w:eastAsia="宋体" w:cs="宋体"/>
                <w:color w:val="000000"/>
                <w:kern w:val="0"/>
                <w:sz w:val="20"/>
                <w:szCs w:val="20"/>
                <w:lang w:val="en-US" w:eastAsia="zh-CN"/>
              </w:rPr>
              <w:t>万元</w:t>
            </w:r>
          </w:p>
        </w:tc>
      </w:tr>
      <w:tr w14:paraId="48739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4C6F2419">
            <w:pPr>
              <w:jc w:val="center"/>
              <w:rPr>
                <w:rFonts w:ascii="宋体" w:cs="宋体"/>
                <w:sz w:val="20"/>
              </w:rPr>
            </w:pPr>
          </w:p>
        </w:tc>
        <w:tc>
          <w:tcPr>
            <w:tcW w:w="3638" w:type="dxa"/>
            <w:gridSpan w:val="2"/>
            <w:tcBorders>
              <w:tl2br w:val="nil"/>
              <w:tr2bl w:val="nil"/>
            </w:tcBorders>
            <w:vAlign w:val="center"/>
          </w:tcPr>
          <w:p w14:paraId="4DA5D385">
            <w:pPr>
              <w:widowControl/>
              <w:jc w:val="center"/>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   其中：财政拨款</w:t>
            </w:r>
          </w:p>
        </w:tc>
        <w:tc>
          <w:tcPr>
            <w:tcW w:w="3939" w:type="dxa"/>
            <w:gridSpan w:val="2"/>
            <w:tcBorders>
              <w:tl2br w:val="nil"/>
              <w:tr2bl w:val="nil"/>
            </w:tcBorders>
            <w:vAlign w:val="center"/>
          </w:tcPr>
          <w:p w14:paraId="3916FF72">
            <w:pPr>
              <w:widowControl/>
              <w:jc w:val="center"/>
              <w:textAlignment w:val="center"/>
              <w:rPr>
                <w:rFonts w:hint="eastAsia" w:ascii="宋体" w:hAnsi="宋体" w:eastAsia="宋体" w:cs="宋体"/>
                <w:color w:val="000000"/>
                <w:kern w:val="0"/>
                <w:sz w:val="20"/>
                <w:szCs w:val="20"/>
              </w:rPr>
            </w:pPr>
            <w:r>
              <w:rPr>
                <w:rFonts w:hint="eastAsia" w:ascii="Times New Roman" w:hAnsi="Times New Roman" w:eastAsia="宋体" w:cs="Times New Roman"/>
                <w:color w:val="000000"/>
                <w:kern w:val="0"/>
                <w:sz w:val="20"/>
                <w:szCs w:val="20"/>
                <w:lang w:val="en-US" w:eastAsia="zh-CN"/>
              </w:rPr>
              <w:t>14</w:t>
            </w:r>
            <w:r>
              <w:rPr>
                <w:rFonts w:hint="eastAsia" w:ascii="宋体" w:hAnsi="宋体" w:eastAsia="宋体" w:cs="宋体"/>
                <w:color w:val="000000"/>
                <w:kern w:val="0"/>
                <w:sz w:val="20"/>
                <w:szCs w:val="20"/>
                <w:lang w:val="en-US" w:eastAsia="zh-CN"/>
              </w:rPr>
              <w:t>万元</w:t>
            </w:r>
          </w:p>
        </w:tc>
      </w:tr>
      <w:tr w14:paraId="5343F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174B5A92">
            <w:pPr>
              <w:jc w:val="center"/>
              <w:rPr>
                <w:rFonts w:ascii="宋体" w:cs="宋体"/>
                <w:sz w:val="20"/>
              </w:rPr>
            </w:pPr>
          </w:p>
        </w:tc>
        <w:tc>
          <w:tcPr>
            <w:tcW w:w="3638" w:type="dxa"/>
            <w:gridSpan w:val="2"/>
            <w:tcBorders>
              <w:tl2br w:val="nil"/>
              <w:tr2bl w:val="nil"/>
            </w:tcBorders>
            <w:vAlign w:val="center"/>
          </w:tcPr>
          <w:p w14:paraId="4ED2D3C1">
            <w:pPr>
              <w:widowControl/>
              <w:jc w:val="left"/>
              <w:textAlignment w:val="center"/>
              <w:rPr>
                <w:rFonts w:ascii="宋体" w:cs="宋体"/>
                <w:sz w:val="20"/>
              </w:rPr>
            </w:pPr>
            <w:r>
              <w:rPr>
                <w:rFonts w:hint="eastAsia" w:ascii="宋体" w:hAnsi="宋体" w:eastAsia="宋体" w:cs="宋体"/>
                <w:color w:val="000000"/>
                <w:kern w:val="0"/>
                <w:sz w:val="20"/>
                <w:szCs w:val="20"/>
              </w:rPr>
              <w:t xml:space="preserve">         上年结转</w:t>
            </w:r>
          </w:p>
        </w:tc>
        <w:tc>
          <w:tcPr>
            <w:tcW w:w="3939" w:type="dxa"/>
            <w:gridSpan w:val="2"/>
            <w:tcBorders>
              <w:tl2br w:val="nil"/>
              <w:tr2bl w:val="nil"/>
            </w:tcBorders>
            <w:vAlign w:val="center"/>
          </w:tcPr>
          <w:p w14:paraId="721880E9">
            <w:pPr>
              <w:jc w:val="center"/>
              <w:rPr>
                <w:rFonts w:ascii="宋体" w:cs="宋体"/>
                <w:sz w:val="20"/>
              </w:rPr>
            </w:pPr>
          </w:p>
        </w:tc>
      </w:tr>
      <w:tr w14:paraId="0FC25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2F0942A1">
            <w:pPr>
              <w:jc w:val="center"/>
              <w:rPr>
                <w:rFonts w:ascii="宋体" w:cs="宋体"/>
                <w:sz w:val="20"/>
              </w:rPr>
            </w:pPr>
          </w:p>
        </w:tc>
        <w:tc>
          <w:tcPr>
            <w:tcW w:w="3638" w:type="dxa"/>
            <w:gridSpan w:val="2"/>
            <w:tcBorders>
              <w:tl2br w:val="nil"/>
              <w:tr2bl w:val="nil"/>
            </w:tcBorders>
            <w:vAlign w:val="center"/>
          </w:tcPr>
          <w:p w14:paraId="0512979E">
            <w:pPr>
              <w:widowControl/>
              <w:jc w:val="left"/>
              <w:textAlignment w:val="center"/>
              <w:rPr>
                <w:rFonts w:ascii="宋体" w:cs="宋体"/>
                <w:sz w:val="20"/>
              </w:rPr>
            </w:pPr>
            <w:r>
              <w:rPr>
                <w:rFonts w:hint="eastAsia" w:ascii="宋体" w:hAnsi="宋体" w:eastAsia="宋体" w:cs="宋体"/>
                <w:color w:val="000000"/>
                <w:kern w:val="0"/>
                <w:sz w:val="20"/>
                <w:szCs w:val="20"/>
              </w:rPr>
              <w:t xml:space="preserve">         其他资金</w:t>
            </w:r>
          </w:p>
        </w:tc>
        <w:tc>
          <w:tcPr>
            <w:tcW w:w="3939" w:type="dxa"/>
            <w:gridSpan w:val="2"/>
            <w:tcBorders>
              <w:tl2br w:val="nil"/>
              <w:tr2bl w:val="nil"/>
            </w:tcBorders>
            <w:vAlign w:val="center"/>
          </w:tcPr>
          <w:p w14:paraId="586BBF56">
            <w:pPr>
              <w:jc w:val="right"/>
              <w:rPr>
                <w:rFonts w:ascii="宋体" w:cs="宋体"/>
                <w:sz w:val="20"/>
              </w:rPr>
            </w:pPr>
          </w:p>
        </w:tc>
      </w:tr>
      <w:tr w14:paraId="5D3E5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438" w:type="dxa"/>
            <w:tcBorders>
              <w:tl2br w:val="nil"/>
              <w:tr2bl w:val="nil"/>
            </w:tcBorders>
            <w:vAlign w:val="center"/>
          </w:tcPr>
          <w:p w14:paraId="4A38F885">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年度</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目标</w:t>
            </w:r>
          </w:p>
        </w:tc>
        <w:tc>
          <w:tcPr>
            <w:tcW w:w="8582" w:type="dxa"/>
            <w:gridSpan w:val="6"/>
            <w:tcBorders>
              <w:tl2br w:val="nil"/>
              <w:tr2bl w:val="nil"/>
            </w:tcBorders>
            <w:vAlign w:val="center"/>
          </w:tcPr>
          <w:p w14:paraId="546CF150">
            <w:pPr>
              <w:jc w:val="left"/>
              <w:rPr>
                <w:rFonts w:hint="eastAsia" w:ascii="宋体" w:cs="宋体"/>
                <w:sz w:val="20"/>
              </w:rPr>
            </w:pPr>
            <w:r>
              <w:rPr>
                <w:rFonts w:hint="eastAsia" w:ascii="宋体" w:cs="宋体"/>
                <w:sz w:val="20"/>
              </w:rPr>
              <w:t>目标</w:t>
            </w:r>
            <w:r>
              <w:rPr>
                <w:rFonts w:hint="default" w:ascii="Times New Roman" w:hAnsi="Times New Roman" w:cs="Times New Roman"/>
                <w:sz w:val="20"/>
              </w:rPr>
              <w:t>1</w:t>
            </w:r>
            <w:r>
              <w:rPr>
                <w:rFonts w:hint="eastAsia" w:ascii="宋体" w:cs="宋体"/>
                <w:sz w:val="20"/>
              </w:rPr>
              <w:t>：全力推进《纲要》实施，服务全民科学素质提升，开展大型科普活动及科普讲座。</w:t>
            </w:r>
          </w:p>
          <w:p w14:paraId="108C0E8D">
            <w:pPr>
              <w:jc w:val="left"/>
              <w:rPr>
                <w:rFonts w:ascii="宋体" w:cs="宋体"/>
                <w:sz w:val="20"/>
              </w:rPr>
            </w:pPr>
            <w:r>
              <w:rPr>
                <w:rFonts w:hint="eastAsia" w:ascii="宋体" w:cs="宋体"/>
                <w:sz w:val="20"/>
              </w:rPr>
              <w:t xml:space="preserve"> 目标</w:t>
            </w:r>
            <w:r>
              <w:rPr>
                <w:rFonts w:hint="default" w:ascii="Times New Roman" w:hAnsi="Times New Roman" w:cs="Times New Roman"/>
                <w:sz w:val="20"/>
              </w:rPr>
              <w:t>2</w:t>
            </w:r>
            <w:r>
              <w:rPr>
                <w:rFonts w:hint="eastAsia" w:ascii="宋体" w:cs="宋体"/>
                <w:sz w:val="20"/>
              </w:rPr>
              <w:t>：以创新驱动助力工程为抓手，服务淮北经济社会发展，积极开展科技扶贫。</w:t>
            </w:r>
          </w:p>
        </w:tc>
      </w:tr>
      <w:tr w14:paraId="3E9F8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438" w:type="dxa"/>
            <w:vMerge w:val="restart"/>
            <w:tcBorders>
              <w:tl2br w:val="nil"/>
              <w:tr2bl w:val="nil"/>
            </w:tcBorders>
            <w:vAlign w:val="center"/>
          </w:tcPr>
          <w:p w14:paraId="46FFA41F">
            <w:pPr>
              <w:widowControl/>
              <w:jc w:val="center"/>
              <w:textAlignment w:val="center"/>
              <w:rPr>
                <w:rFonts w:ascii="宋体" w:cs="宋体"/>
                <w:sz w:val="20"/>
              </w:rPr>
            </w:pPr>
            <w:r>
              <w:rPr>
                <w:rFonts w:hint="eastAsia" w:ascii="宋体" w:hAnsi="宋体" w:eastAsia="宋体" w:cs="宋体"/>
                <w:color w:val="000000"/>
                <w:kern w:val="0"/>
                <w:sz w:val="20"/>
                <w:szCs w:val="20"/>
              </w:rPr>
              <w:t>绩</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效</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指</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标</w:t>
            </w:r>
          </w:p>
        </w:tc>
        <w:tc>
          <w:tcPr>
            <w:tcW w:w="723" w:type="dxa"/>
            <w:tcBorders>
              <w:tl2br w:val="nil"/>
              <w:tr2bl w:val="nil"/>
            </w:tcBorders>
            <w:vAlign w:val="center"/>
          </w:tcPr>
          <w:p w14:paraId="4553E93C">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一级</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指标</w:t>
            </w:r>
          </w:p>
        </w:tc>
        <w:tc>
          <w:tcPr>
            <w:tcW w:w="759" w:type="dxa"/>
            <w:gridSpan w:val="2"/>
            <w:tcBorders>
              <w:tl2br w:val="nil"/>
              <w:tr2bl w:val="nil"/>
            </w:tcBorders>
            <w:vAlign w:val="center"/>
          </w:tcPr>
          <w:p w14:paraId="54979D59">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二级指标</w:t>
            </w:r>
          </w:p>
        </w:tc>
        <w:tc>
          <w:tcPr>
            <w:tcW w:w="3161" w:type="dxa"/>
            <w:tcBorders>
              <w:tl2br w:val="nil"/>
              <w:tr2bl w:val="nil"/>
            </w:tcBorders>
            <w:vAlign w:val="center"/>
          </w:tcPr>
          <w:p w14:paraId="64425930">
            <w:pPr>
              <w:widowControl/>
              <w:jc w:val="center"/>
              <w:textAlignment w:val="center"/>
              <w:rPr>
                <w:rFonts w:ascii="宋体" w:cs="宋体"/>
                <w:sz w:val="20"/>
              </w:rPr>
            </w:pPr>
            <w:r>
              <w:rPr>
                <w:rFonts w:hint="eastAsia" w:ascii="宋体" w:hAnsi="宋体" w:eastAsia="宋体" w:cs="宋体"/>
                <w:color w:val="000000"/>
                <w:kern w:val="0"/>
                <w:sz w:val="20"/>
                <w:szCs w:val="20"/>
              </w:rPr>
              <w:t>三级指标</w:t>
            </w:r>
          </w:p>
        </w:tc>
        <w:tc>
          <w:tcPr>
            <w:tcW w:w="3939" w:type="dxa"/>
            <w:gridSpan w:val="2"/>
            <w:tcBorders>
              <w:tl2br w:val="nil"/>
              <w:tr2bl w:val="nil"/>
            </w:tcBorders>
            <w:vAlign w:val="center"/>
          </w:tcPr>
          <w:p w14:paraId="346C8D3B">
            <w:pPr>
              <w:widowControl/>
              <w:jc w:val="center"/>
              <w:textAlignment w:val="center"/>
              <w:rPr>
                <w:rFonts w:ascii="宋体" w:cs="宋体"/>
                <w:sz w:val="20"/>
              </w:rPr>
            </w:pPr>
            <w:r>
              <w:rPr>
                <w:rFonts w:hint="eastAsia" w:ascii="宋体" w:hAnsi="宋体" w:eastAsia="宋体" w:cs="宋体"/>
                <w:color w:val="000000"/>
                <w:kern w:val="0"/>
                <w:sz w:val="20"/>
                <w:szCs w:val="20"/>
              </w:rPr>
              <w:t>指标值</w:t>
            </w:r>
          </w:p>
        </w:tc>
      </w:tr>
      <w:tr w14:paraId="4706A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7937D72C">
            <w:pPr>
              <w:jc w:val="center"/>
              <w:rPr>
                <w:rFonts w:ascii="宋体" w:cs="宋体"/>
                <w:sz w:val="20"/>
              </w:rPr>
            </w:pPr>
          </w:p>
        </w:tc>
        <w:tc>
          <w:tcPr>
            <w:tcW w:w="723" w:type="dxa"/>
            <w:vMerge w:val="restart"/>
            <w:tcBorders>
              <w:tl2br w:val="nil"/>
              <w:tr2bl w:val="nil"/>
            </w:tcBorders>
            <w:vAlign w:val="center"/>
          </w:tcPr>
          <w:p w14:paraId="75C25578">
            <w:pPr>
              <w:widowControl/>
              <w:jc w:val="center"/>
              <w:textAlignment w:val="center"/>
              <w:rPr>
                <w:rFonts w:ascii="宋体" w:cs="宋体"/>
                <w:sz w:val="20"/>
              </w:rPr>
            </w:pPr>
            <w:r>
              <w:rPr>
                <w:rFonts w:hint="eastAsia" w:ascii="宋体" w:hAnsi="宋体" w:eastAsia="宋体" w:cs="宋体"/>
                <w:color w:val="000000"/>
                <w:kern w:val="0"/>
                <w:sz w:val="20"/>
                <w:szCs w:val="20"/>
              </w:rPr>
              <w:t>产出指标</w:t>
            </w:r>
          </w:p>
        </w:tc>
        <w:tc>
          <w:tcPr>
            <w:tcW w:w="759" w:type="dxa"/>
            <w:gridSpan w:val="2"/>
            <w:vMerge w:val="restart"/>
            <w:tcBorders>
              <w:tl2br w:val="nil"/>
              <w:tr2bl w:val="nil"/>
            </w:tcBorders>
            <w:vAlign w:val="center"/>
          </w:tcPr>
          <w:p w14:paraId="733A1163">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数量指标</w:t>
            </w:r>
          </w:p>
        </w:tc>
        <w:tc>
          <w:tcPr>
            <w:tcW w:w="3161" w:type="dxa"/>
            <w:tcBorders>
              <w:tl2br w:val="nil"/>
              <w:tr2bl w:val="nil"/>
            </w:tcBorders>
            <w:vAlign w:val="center"/>
          </w:tcPr>
          <w:p w14:paraId="35ED304C">
            <w:pPr>
              <w:widowControl/>
              <w:jc w:val="center"/>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br w:type="textWrapping"/>
            </w:r>
            <w:r>
              <w:rPr>
                <w:rFonts w:hint="default" w:ascii="宋体" w:hAnsi="宋体" w:eastAsia="宋体" w:cs="宋体"/>
                <w:color w:val="000000"/>
                <w:kern w:val="0"/>
                <w:sz w:val="20"/>
                <w:szCs w:val="20"/>
              </w:rPr>
              <w:t>开展全国科普日活动</w:t>
            </w:r>
          </w:p>
        </w:tc>
        <w:tc>
          <w:tcPr>
            <w:tcW w:w="3939" w:type="dxa"/>
            <w:gridSpan w:val="2"/>
            <w:tcBorders>
              <w:tl2br w:val="nil"/>
              <w:tr2bl w:val="nil"/>
            </w:tcBorders>
            <w:vAlign w:val="center"/>
          </w:tcPr>
          <w:p w14:paraId="513F3940">
            <w:pPr>
              <w:widowControl/>
              <w:jc w:val="center"/>
              <w:textAlignment w:val="center"/>
              <w:rPr>
                <w:rFonts w:hint="default" w:ascii="宋体" w:hAnsi="宋体" w:eastAsia="宋体" w:cs="宋体"/>
                <w:color w:val="000000"/>
                <w:kern w:val="0"/>
                <w:sz w:val="20"/>
                <w:szCs w:val="20"/>
                <w:lang w:val="en-US" w:eastAsia="zh-CN"/>
              </w:rPr>
            </w:pPr>
            <w:r>
              <w:rPr>
                <w:rFonts w:hint="default" w:ascii="Times New Roman" w:hAnsi="Times New Roman" w:eastAsia="宋体" w:cs="Times New Roman"/>
                <w:color w:val="000000"/>
                <w:kern w:val="0"/>
                <w:sz w:val="20"/>
                <w:szCs w:val="20"/>
                <w:lang w:val="en-US" w:eastAsia="zh-CN"/>
              </w:rPr>
              <w:t>1</w:t>
            </w:r>
          </w:p>
        </w:tc>
      </w:tr>
      <w:tr w14:paraId="6544F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77BBC0C4">
            <w:pPr>
              <w:jc w:val="center"/>
              <w:rPr>
                <w:rFonts w:ascii="宋体" w:cs="宋体"/>
                <w:sz w:val="20"/>
              </w:rPr>
            </w:pPr>
          </w:p>
        </w:tc>
        <w:tc>
          <w:tcPr>
            <w:tcW w:w="723" w:type="dxa"/>
            <w:vMerge w:val="continue"/>
            <w:tcBorders>
              <w:tl2br w:val="nil"/>
              <w:tr2bl w:val="nil"/>
            </w:tcBorders>
            <w:vAlign w:val="center"/>
          </w:tcPr>
          <w:p w14:paraId="48BE833F">
            <w:pPr>
              <w:widowControl/>
              <w:jc w:val="center"/>
              <w:textAlignment w:val="center"/>
              <w:rPr>
                <w:rFonts w:hint="eastAsia" w:ascii="宋体" w:hAnsi="宋体" w:eastAsia="宋体" w:cs="宋体"/>
                <w:color w:val="000000"/>
                <w:kern w:val="0"/>
                <w:sz w:val="20"/>
                <w:szCs w:val="20"/>
              </w:rPr>
            </w:pPr>
          </w:p>
        </w:tc>
        <w:tc>
          <w:tcPr>
            <w:tcW w:w="759" w:type="dxa"/>
            <w:gridSpan w:val="2"/>
            <w:vMerge w:val="continue"/>
            <w:tcBorders>
              <w:tl2br w:val="nil"/>
              <w:tr2bl w:val="nil"/>
            </w:tcBorders>
            <w:vAlign w:val="center"/>
          </w:tcPr>
          <w:p w14:paraId="0510A34B">
            <w:pPr>
              <w:widowControl/>
              <w:spacing w:line="200" w:lineRule="exact"/>
              <w:jc w:val="center"/>
              <w:textAlignment w:val="center"/>
              <w:rPr>
                <w:rFonts w:hint="eastAsia" w:ascii="宋体" w:hAnsi="宋体" w:eastAsia="宋体" w:cs="宋体"/>
                <w:color w:val="000000"/>
                <w:kern w:val="0"/>
                <w:sz w:val="20"/>
                <w:szCs w:val="20"/>
              </w:rPr>
            </w:pPr>
          </w:p>
        </w:tc>
        <w:tc>
          <w:tcPr>
            <w:tcW w:w="3161" w:type="dxa"/>
            <w:tcBorders>
              <w:tl2br w:val="nil"/>
              <w:tr2bl w:val="nil"/>
            </w:tcBorders>
            <w:vAlign w:val="center"/>
          </w:tcPr>
          <w:p w14:paraId="5E8E3DF2">
            <w:pPr>
              <w:widowControl/>
              <w:jc w:val="center"/>
              <w:textAlignment w:val="center"/>
              <w:rPr>
                <w:rFonts w:hint="eastAsia" w:ascii="宋体" w:hAnsi="宋体" w:eastAsia="宋体" w:cs="宋体"/>
                <w:color w:val="000000"/>
                <w:kern w:val="0"/>
                <w:sz w:val="20"/>
                <w:szCs w:val="20"/>
              </w:rPr>
            </w:pPr>
            <w:r>
              <w:rPr>
                <w:rFonts w:hint="default" w:ascii="宋体" w:hAnsi="宋体" w:eastAsia="宋体" w:cs="宋体"/>
                <w:color w:val="000000"/>
                <w:kern w:val="0"/>
                <w:sz w:val="20"/>
                <w:szCs w:val="20"/>
              </w:rPr>
              <w:br w:type="textWrapping"/>
            </w:r>
            <w:r>
              <w:rPr>
                <w:rFonts w:hint="default" w:ascii="宋体" w:hAnsi="宋体" w:eastAsia="宋体" w:cs="宋体"/>
                <w:color w:val="000000"/>
                <w:kern w:val="0"/>
                <w:sz w:val="20"/>
                <w:szCs w:val="20"/>
              </w:rPr>
              <w:t>参加科技活动周活动</w:t>
            </w:r>
          </w:p>
        </w:tc>
        <w:tc>
          <w:tcPr>
            <w:tcW w:w="3939" w:type="dxa"/>
            <w:gridSpan w:val="2"/>
            <w:tcBorders>
              <w:tl2br w:val="nil"/>
              <w:tr2bl w:val="nil"/>
            </w:tcBorders>
            <w:vAlign w:val="center"/>
          </w:tcPr>
          <w:p w14:paraId="24F3B18A">
            <w:pPr>
              <w:widowControl/>
              <w:jc w:val="center"/>
              <w:textAlignment w:val="center"/>
              <w:rPr>
                <w:rFonts w:hint="default" w:ascii="宋体" w:hAnsi="宋体" w:eastAsia="宋体" w:cs="宋体"/>
                <w:color w:val="000000"/>
                <w:kern w:val="0"/>
                <w:sz w:val="20"/>
                <w:szCs w:val="20"/>
                <w:lang w:val="en-US" w:eastAsia="zh-CN"/>
              </w:rPr>
            </w:pPr>
            <w:r>
              <w:rPr>
                <w:rFonts w:hint="eastAsia" w:ascii="Times New Roman" w:hAnsi="Times New Roman" w:eastAsia="宋体" w:cs="Times New Roman"/>
                <w:color w:val="000000"/>
                <w:kern w:val="0"/>
                <w:sz w:val="20"/>
                <w:szCs w:val="20"/>
                <w:lang w:val="en-US" w:eastAsia="zh-CN"/>
              </w:rPr>
              <w:t>1</w:t>
            </w:r>
          </w:p>
        </w:tc>
      </w:tr>
      <w:tr w14:paraId="0B70A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12182AD5">
            <w:pPr>
              <w:jc w:val="center"/>
              <w:rPr>
                <w:rFonts w:ascii="宋体" w:cs="宋体"/>
                <w:sz w:val="20"/>
              </w:rPr>
            </w:pPr>
          </w:p>
        </w:tc>
        <w:tc>
          <w:tcPr>
            <w:tcW w:w="723" w:type="dxa"/>
            <w:vMerge w:val="continue"/>
            <w:tcBorders>
              <w:tl2br w:val="nil"/>
              <w:tr2bl w:val="nil"/>
            </w:tcBorders>
            <w:vAlign w:val="center"/>
          </w:tcPr>
          <w:p w14:paraId="64FCB8FC">
            <w:pPr>
              <w:widowControl/>
              <w:jc w:val="center"/>
              <w:textAlignment w:val="center"/>
              <w:rPr>
                <w:rFonts w:hint="eastAsia" w:ascii="宋体" w:hAnsi="宋体" w:eastAsia="宋体" w:cs="宋体"/>
                <w:color w:val="000000"/>
                <w:kern w:val="0"/>
                <w:sz w:val="20"/>
                <w:szCs w:val="20"/>
              </w:rPr>
            </w:pPr>
          </w:p>
        </w:tc>
        <w:tc>
          <w:tcPr>
            <w:tcW w:w="759" w:type="dxa"/>
            <w:gridSpan w:val="2"/>
            <w:vMerge w:val="continue"/>
            <w:tcBorders>
              <w:tl2br w:val="nil"/>
              <w:tr2bl w:val="nil"/>
            </w:tcBorders>
            <w:vAlign w:val="center"/>
          </w:tcPr>
          <w:p w14:paraId="353D3126">
            <w:pPr>
              <w:widowControl/>
              <w:spacing w:line="200" w:lineRule="exact"/>
              <w:jc w:val="center"/>
              <w:textAlignment w:val="center"/>
              <w:rPr>
                <w:rFonts w:hint="eastAsia" w:ascii="宋体" w:hAnsi="宋体" w:eastAsia="宋体" w:cs="宋体"/>
                <w:color w:val="000000"/>
                <w:kern w:val="0"/>
                <w:sz w:val="20"/>
                <w:szCs w:val="20"/>
              </w:rPr>
            </w:pPr>
          </w:p>
        </w:tc>
        <w:tc>
          <w:tcPr>
            <w:tcW w:w="3161" w:type="dxa"/>
            <w:tcBorders>
              <w:tl2br w:val="nil"/>
              <w:tr2bl w:val="nil"/>
            </w:tcBorders>
            <w:vAlign w:val="center"/>
          </w:tcPr>
          <w:p w14:paraId="5BA5F685">
            <w:pPr>
              <w:widowControl/>
              <w:jc w:val="center"/>
              <w:textAlignment w:val="center"/>
              <w:rPr>
                <w:rFonts w:hint="eastAsia" w:ascii="宋体" w:hAnsi="宋体" w:eastAsia="宋体" w:cs="宋体"/>
                <w:color w:val="000000"/>
                <w:kern w:val="0"/>
                <w:sz w:val="20"/>
                <w:szCs w:val="20"/>
              </w:rPr>
            </w:pPr>
            <w:r>
              <w:rPr>
                <w:rFonts w:hint="default" w:ascii="宋体" w:hAnsi="宋体" w:eastAsia="宋体" w:cs="宋体"/>
                <w:color w:val="000000"/>
                <w:kern w:val="0"/>
                <w:sz w:val="20"/>
                <w:szCs w:val="20"/>
              </w:rPr>
              <w:br w:type="textWrapping"/>
            </w:r>
            <w:r>
              <w:rPr>
                <w:rFonts w:hint="default" w:ascii="宋体" w:hAnsi="宋体" w:eastAsia="宋体" w:cs="宋体"/>
                <w:color w:val="000000"/>
                <w:kern w:val="0"/>
                <w:sz w:val="20"/>
                <w:szCs w:val="20"/>
              </w:rPr>
              <w:t>开展科普宣传活动</w:t>
            </w:r>
          </w:p>
        </w:tc>
        <w:tc>
          <w:tcPr>
            <w:tcW w:w="3939" w:type="dxa"/>
            <w:gridSpan w:val="2"/>
            <w:tcBorders>
              <w:tl2br w:val="nil"/>
              <w:tr2bl w:val="nil"/>
            </w:tcBorders>
            <w:vAlign w:val="center"/>
          </w:tcPr>
          <w:p w14:paraId="05FA15FA">
            <w:pPr>
              <w:widowControl/>
              <w:jc w:val="center"/>
              <w:textAlignment w:val="center"/>
              <w:rPr>
                <w:rFonts w:hint="default" w:ascii="宋体" w:hAnsi="宋体" w:eastAsia="宋体" w:cs="宋体"/>
                <w:color w:val="000000"/>
                <w:kern w:val="0"/>
                <w:sz w:val="20"/>
                <w:szCs w:val="20"/>
                <w:lang w:val="en-US" w:eastAsia="zh-CN"/>
              </w:rPr>
            </w:pPr>
            <w:r>
              <w:rPr>
                <w:rFonts w:hint="eastAsia" w:ascii="Times New Roman" w:hAnsi="Times New Roman" w:eastAsia="宋体" w:cs="Times New Roman"/>
                <w:color w:val="000000"/>
                <w:kern w:val="0"/>
                <w:sz w:val="20"/>
                <w:szCs w:val="20"/>
                <w:lang w:val="en-US" w:eastAsia="zh-CN"/>
              </w:rPr>
              <w:t>4</w:t>
            </w:r>
          </w:p>
        </w:tc>
      </w:tr>
      <w:tr w14:paraId="6B049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4CDE654D">
            <w:pPr>
              <w:jc w:val="center"/>
              <w:rPr>
                <w:rFonts w:ascii="宋体" w:cs="宋体"/>
                <w:sz w:val="20"/>
              </w:rPr>
            </w:pPr>
          </w:p>
        </w:tc>
        <w:tc>
          <w:tcPr>
            <w:tcW w:w="723" w:type="dxa"/>
            <w:vMerge w:val="continue"/>
            <w:tcBorders>
              <w:tl2br w:val="nil"/>
              <w:tr2bl w:val="nil"/>
            </w:tcBorders>
            <w:vAlign w:val="center"/>
          </w:tcPr>
          <w:p w14:paraId="7CEFD0CB">
            <w:pPr>
              <w:widowControl/>
              <w:jc w:val="center"/>
              <w:textAlignment w:val="center"/>
              <w:rPr>
                <w:rFonts w:hint="eastAsia" w:ascii="宋体" w:hAnsi="宋体" w:eastAsia="宋体" w:cs="宋体"/>
                <w:color w:val="000000"/>
                <w:kern w:val="0"/>
                <w:sz w:val="20"/>
                <w:szCs w:val="20"/>
              </w:rPr>
            </w:pPr>
          </w:p>
        </w:tc>
        <w:tc>
          <w:tcPr>
            <w:tcW w:w="759" w:type="dxa"/>
            <w:gridSpan w:val="2"/>
            <w:vMerge w:val="continue"/>
            <w:tcBorders>
              <w:tl2br w:val="nil"/>
              <w:tr2bl w:val="nil"/>
            </w:tcBorders>
            <w:vAlign w:val="center"/>
          </w:tcPr>
          <w:p w14:paraId="799B254D">
            <w:pPr>
              <w:widowControl/>
              <w:spacing w:line="200" w:lineRule="exact"/>
              <w:jc w:val="center"/>
              <w:textAlignment w:val="center"/>
              <w:rPr>
                <w:rFonts w:hint="eastAsia" w:ascii="宋体" w:hAnsi="宋体" w:eastAsia="宋体" w:cs="宋体"/>
                <w:color w:val="000000"/>
                <w:kern w:val="0"/>
                <w:sz w:val="20"/>
                <w:szCs w:val="20"/>
              </w:rPr>
            </w:pPr>
          </w:p>
        </w:tc>
        <w:tc>
          <w:tcPr>
            <w:tcW w:w="3161" w:type="dxa"/>
            <w:tcBorders>
              <w:tl2br w:val="nil"/>
              <w:tr2bl w:val="nil"/>
            </w:tcBorders>
            <w:vAlign w:val="center"/>
          </w:tcPr>
          <w:p w14:paraId="363D2BC9">
            <w:pPr>
              <w:widowControl/>
              <w:jc w:val="center"/>
              <w:textAlignment w:val="center"/>
              <w:rPr>
                <w:rFonts w:hint="eastAsia" w:ascii="宋体" w:hAnsi="宋体" w:eastAsia="宋体" w:cs="宋体"/>
                <w:color w:val="000000"/>
                <w:kern w:val="0"/>
                <w:sz w:val="20"/>
                <w:szCs w:val="20"/>
              </w:rPr>
            </w:pPr>
            <w:r>
              <w:rPr>
                <w:rFonts w:hint="default" w:ascii="宋体" w:hAnsi="宋体" w:eastAsia="宋体" w:cs="宋体"/>
                <w:color w:val="000000"/>
                <w:kern w:val="0"/>
                <w:sz w:val="20"/>
                <w:szCs w:val="20"/>
              </w:rPr>
              <w:br w:type="textWrapping"/>
            </w:r>
            <w:r>
              <w:rPr>
                <w:rFonts w:hint="default" w:ascii="宋体" w:hAnsi="宋体" w:eastAsia="宋体" w:cs="宋体"/>
                <w:color w:val="000000"/>
                <w:kern w:val="0"/>
                <w:sz w:val="20"/>
                <w:szCs w:val="20"/>
              </w:rPr>
              <w:t>举办科普讲座活动</w:t>
            </w:r>
          </w:p>
        </w:tc>
        <w:tc>
          <w:tcPr>
            <w:tcW w:w="3939" w:type="dxa"/>
            <w:gridSpan w:val="2"/>
            <w:tcBorders>
              <w:tl2br w:val="nil"/>
              <w:tr2bl w:val="nil"/>
            </w:tcBorders>
            <w:vAlign w:val="center"/>
          </w:tcPr>
          <w:p w14:paraId="03E8B14B">
            <w:pPr>
              <w:widowControl/>
              <w:jc w:val="center"/>
              <w:textAlignment w:val="center"/>
              <w:rPr>
                <w:rFonts w:hint="default" w:ascii="宋体" w:hAnsi="宋体" w:eastAsia="宋体" w:cs="宋体"/>
                <w:color w:val="000000"/>
                <w:kern w:val="0"/>
                <w:sz w:val="20"/>
                <w:szCs w:val="20"/>
                <w:lang w:val="en-US" w:eastAsia="zh-CN"/>
              </w:rPr>
            </w:pPr>
            <w:r>
              <w:rPr>
                <w:rFonts w:hint="default" w:ascii="Times New Roman" w:hAnsi="Times New Roman" w:eastAsia="宋体" w:cs="Times New Roman"/>
                <w:color w:val="000000"/>
                <w:kern w:val="0"/>
                <w:sz w:val="20"/>
                <w:szCs w:val="20"/>
                <w:lang w:val="en-US" w:eastAsia="zh-CN"/>
              </w:rPr>
              <w:t>4</w:t>
            </w:r>
          </w:p>
        </w:tc>
      </w:tr>
      <w:tr w14:paraId="70A57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5A30ECF7">
            <w:pPr>
              <w:jc w:val="center"/>
              <w:rPr>
                <w:rFonts w:ascii="宋体" w:cs="宋体"/>
                <w:sz w:val="20"/>
              </w:rPr>
            </w:pPr>
          </w:p>
        </w:tc>
        <w:tc>
          <w:tcPr>
            <w:tcW w:w="723" w:type="dxa"/>
            <w:vMerge w:val="continue"/>
            <w:tcBorders>
              <w:tl2br w:val="nil"/>
              <w:tr2bl w:val="nil"/>
            </w:tcBorders>
            <w:vAlign w:val="center"/>
          </w:tcPr>
          <w:p w14:paraId="25291A05">
            <w:pPr>
              <w:jc w:val="center"/>
              <w:rPr>
                <w:rFonts w:ascii="宋体" w:cs="宋体"/>
                <w:sz w:val="20"/>
              </w:rPr>
            </w:pPr>
          </w:p>
        </w:tc>
        <w:tc>
          <w:tcPr>
            <w:tcW w:w="759" w:type="dxa"/>
            <w:gridSpan w:val="2"/>
            <w:vMerge w:val="continue"/>
            <w:tcBorders>
              <w:tl2br w:val="nil"/>
              <w:tr2bl w:val="nil"/>
            </w:tcBorders>
            <w:vAlign w:val="center"/>
          </w:tcPr>
          <w:p w14:paraId="5BE66765">
            <w:pPr>
              <w:jc w:val="center"/>
              <w:rPr>
                <w:rFonts w:ascii="宋体" w:cs="宋体"/>
                <w:sz w:val="20"/>
              </w:rPr>
            </w:pPr>
          </w:p>
        </w:tc>
        <w:tc>
          <w:tcPr>
            <w:tcW w:w="3161" w:type="dxa"/>
            <w:tcBorders>
              <w:tl2br w:val="nil"/>
              <w:tr2bl w:val="nil"/>
            </w:tcBorders>
            <w:vAlign w:val="center"/>
          </w:tcPr>
          <w:p w14:paraId="576BB5E9">
            <w:pPr>
              <w:widowControl/>
              <w:jc w:val="center"/>
              <w:textAlignment w:val="center"/>
              <w:rPr>
                <w:rFonts w:hint="eastAsia" w:ascii="宋体" w:hAnsi="宋体" w:eastAsia="宋体" w:cs="宋体"/>
                <w:color w:val="000000"/>
                <w:kern w:val="0"/>
                <w:sz w:val="20"/>
                <w:szCs w:val="20"/>
              </w:rPr>
            </w:pPr>
            <w:r>
              <w:rPr>
                <w:rFonts w:hint="default" w:ascii="宋体" w:hAnsi="宋体" w:eastAsia="宋体" w:cs="宋体"/>
                <w:color w:val="000000"/>
                <w:kern w:val="0"/>
                <w:sz w:val="20"/>
                <w:szCs w:val="20"/>
              </w:rPr>
              <w:br w:type="textWrapping"/>
            </w:r>
            <w:r>
              <w:rPr>
                <w:rFonts w:hint="default" w:ascii="宋体" w:hAnsi="宋体" w:eastAsia="宋体" w:cs="宋体"/>
                <w:color w:val="000000"/>
                <w:kern w:val="0"/>
                <w:sz w:val="20"/>
                <w:szCs w:val="20"/>
              </w:rPr>
              <w:t>开展科技扶贫</w:t>
            </w:r>
            <w:r>
              <w:rPr>
                <w:rFonts w:hint="eastAsia" w:ascii="宋体" w:hAnsi="宋体" w:eastAsia="宋体" w:cs="宋体"/>
                <w:color w:val="000000"/>
                <w:kern w:val="0"/>
                <w:sz w:val="20"/>
                <w:szCs w:val="20"/>
              </w:rPr>
              <w:br w:type="textWrapping"/>
            </w:r>
          </w:p>
        </w:tc>
        <w:tc>
          <w:tcPr>
            <w:tcW w:w="3939" w:type="dxa"/>
            <w:gridSpan w:val="2"/>
            <w:tcBorders>
              <w:tl2br w:val="nil"/>
              <w:tr2bl w:val="nil"/>
            </w:tcBorders>
            <w:vAlign w:val="center"/>
          </w:tcPr>
          <w:p w14:paraId="1FA719E9">
            <w:pPr>
              <w:widowControl/>
              <w:jc w:val="center"/>
              <w:textAlignment w:val="center"/>
              <w:rPr>
                <w:rFonts w:hint="default" w:ascii="宋体" w:hAnsi="宋体" w:eastAsia="宋体" w:cs="宋体"/>
                <w:color w:val="000000"/>
                <w:kern w:val="0"/>
                <w:sz w:val="20"/>
                <w:szCs w:val="20"/>
                <w:lang w:val="en-US" w:eastAsia="zh-CN"/>
              </w:rPr>
            </w:pPr>
            <w:r>
              <w:rPr>
                <w:rFonts w:hint="default" w:ascii="Times New Roman" w:hAnsi="Times New Roman" w:eastAsia="宋体" w:cs="Times New Roman"/>
                <w:color w:val="000000"/>
                <w:kern w:val="0"/>
                <w:sz w:val="20"/>
                <w:szCs w:val="20"/>
                <w:lang w:val="en-US" w:eastAsia="zh-CN"/>
              </w:rPr>
              <w:t>1</w:t>
            </w:r>
          </w:p>
        </w:tc>
      </w:tr>
      <w:tr w14:paraId="73520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49EB0AE2">
            <w:pPr>
              <w:jc w:val="center"/>
              <w:rPr>
                <w:rFonts w:ascii="宋体" w:cs="宋体"/>
                <w:sz w:val="20"/>
              </w:rPr>
            </w:pPr>
          </w:p>
        </w:tc>
        <w:tc>
          <w:tcPr>
            <w:tcW w:w="723" w:type="dxa"/>
            <w:vMerge w:val="continue"/>
            <w:tcBorders>
              <w:tl2br w:val="nil"/>
              <w:tr2bl w:val="nil"/>
            </w:tcBorders>
            <w:vAlign w:val="center"/>
          </w:tcPr>
          <w:p w14:paraId="2C9EBF25">
            <w:pPr>
              <w:jc w:val="center"/>
              <w:rPr>
                <w:rFonts w:ascii="宋体" w:cs="宋体"/>
                <w:sz w:val="20"/>
              </w:rPr>
            </w:pPr>
          </w:p>
        </w:tc>
        <w:tc>
          <w:tcPr>
            <w:tcW w:w="759" w:type="dxa"/>
            <w:gridSpan w:val="2"/>
            <w:vMerge w:val="continue"/>
            <w:tcBorders>
              <w:tl2br w:val="nil"/>
              <w:tr2bl w:val="nil"/>
            </w:tcBorders>
            <w:vAlign w:val="center"/>
          </w:tcPr>
          <w:p w14:paraId="58465EE9">
            <w:pPr>
              <w:jc w:val="center"/>
              <w:rPr>
                <w:rFonts w:ascii="宋体" w:cs="宋体"/>
                <w:sz w:val="20"/>
              </w:rPr>
            </w:pPr>
          </w:p>
        </w:tc>
        <w:tc>
          <w:tcPr>
            <w:tcW w:w="3161" w:type="dxa"/>
            <w:tcBorders>
              <w:tl2br w:val="nil"/>
              <w:tr2bl w:val="nil"/>
            </w:tcBorders>
            <w:vAlign w:val="center"/>
          </w:tcPr>
          <w:p w14:paraId="1B81DDCE">
            <w:pPr>
              <w:widowControl/>
              <w:jc w:val="center"/>
              <w:textAlignment w:val="center"/>
              <w:rPr>
                <w:rFonts w:hint="eastAsia" w:ascii="宋体" w:hAnsi="宋体" w:eastAsia="宋体" w:cs="宋体"/>
                <w:color w:val="000000"/>
                <w:kern w:val="0"/>
                <w:sz w:val="20"/>
                <w:szCs w:val="20"/>
              </w:rPr>
            </w:pPr>
            <w:r>
              <w:rPr>
                <w:rFonts w:hint="default" w:ascii="宋体" w:hAnsi="宋体" w:eastAsia="宋体" w:cs="宋体"/>
                <w:color w:val="000000"/>
                <w:kern w:val="0"/>
                <w:sz w:val="20"/>
                <w:szCs w:val="20"/>
              </w:rPr>
              <w:br w:type="textWrapping"/>
            </w:r>
            <w:r>
              <w:rPr>
                <w:rFonts w:hint="default" w:ascii="宋体" w:hAnsi="宋体" w:eastAsia="宋体" w:cs="宋体"/>
                <w:color w:val="000000"/>
                <w:kern w:val="0"/>
                <w:sz w:val="20"/>
                <w:szCs w:val="20"/>
              </w:rPr>
              <w:t>举办青少年科技赛事</w:t>
            </w:r>
          </w:p>
        </w:tc>
        <w:tc>
          <w:tcPr>
            <w:tcW w:w="3939" w:type="dxa"/>
            <w:gridSpan w:val="2"/>
            <w:tcBorders>
              <w:tl2br w:val="nil"/>
              <w:tr2bl w:val="nil"/>
            </w:tcBorders>
            <w:vAlign w:val="center"/>
          </w:tcPr>
          <w:p w14:paraId="720795E9">
            <w:pPr>
              <w:widowControl/>
              <w:jc w:val="center"/>
              <w:textAlignment w:val="center"/>
              <w:rPr>
                <w:rFonts w:hint="default" w:ascii="宋体" w:hAnsi="宋体" w:eastAsia="宋体" w:cs="宋体"/>
                <w:color w:val="000000"/>
                <w:kern w:val="0"/>
                <w:sz w:val="20"/>
                <w:szCs w:val="20"/>
                <w:lang w:val="en-US" w:eastAsia="zh-CN"/>
              </w:rPr>
            </w:pPr>
            <w:r>
              <w:rPr>
                <w:rFonts w:hint="eastAsia" w:ascii="Times New Roman" w:hAnsi="Times New Roman" w:eastAsia="宋体" w:cs="Times New Roman"/>
                <w:color w:val="000000"/>
                <w:kern w:val="0"/>
                <w:sz w:val="20"/>
                <w:szCs w:val="20"/>
                <w:lang w:val="en-US" w:eastAsia="zh-CN"/>
              </w:rPr>
              <w:t>2</w:t>
            </w:r>
          </w:p>
        </w:tc>
      </w:tr>
      <w:tr w14:paraId="6ADD1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4D20B589">
            <w:pPr>
              <w:jc w:val="center"/>
              <w:rPr>
                <w:rFonts w:ascii="宋体" w:cs="宋体"/>
                <w:sz w:val="20"/>
              </w:rPr>
            </w:pPr>
          </w:p>
        </w:tc>
        <w:tc>
          <w:tcPr>
            <w:tcW w:w="723" w:type="dxa"/>
            <w:vMerge w:val="continue"/>
            <w:tcBorders>
              <w:tl2br w:val="nil"/>
              <w:tr2bl w:val="nil"/>
            </w:tcBorders>
            <w:vAlign w:val="center"/>
          </w:tcPr>
          <w:p w14:paraId="47B7FC74">
            <w:pPr>
              <w:jc w:val="center"/>
              <w:rPr>
                <w:rFonts w:ascii="宋体" w:cs="宋体"/>
                <w:sz w:val="20"/>
              </w:rPr>
            </w:pPr>
          </w:p>
        </w:tc>
        <w:tc>
          <w:tcPr>
            <w:tcW w:w="759" w:type="dxa"/>
            <w:gridSpan w:val="2"/>
            <w:tcBorders>
              <w:tl2br w:val="nil"/>
              <w:tr2bl w:val="nil"/>
            </w:tcBorders>
            <w:vAlign w:val="center"/>
          </w:tcPr>
          <w:p w14:paraId="50D609C2">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质量指标</w:t>
            </w:r>
          </w:p>
        </w:tc>
        <w:tc>
          <w:tcPr>
            <w:tcW w:w="3161" w:type="dxa"/>
            <w:tcBorders>
              <w:tl2br w:val="nil"/>
              <w:tr2bl w:val="nil"/>
            </w:tcBorders>
            <w:vAlign w:val="center"/>
          </w:tcPr>
          <w:p w14:paraId="33C90CAE">
            <w:pPr>
              <w:widowControl/>
              <w:jc w:val="center"/>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资金支出合规性</w:t>
            </w:r>
          </w:p>
        </w:tc>
        <w:tc>
          <w:tcPr>
            <w:tcW w:w="3939" w:type="dxa"/>
            <w:gridSpan w:val="2"/>
            <w:tcBorders>
              <w:tl2br w:val="nil"/>
              <w:tr2bl w:val="nil"/>
            </w:tcBorders>
            <w:vAlign w:val="center"/>
          </w:tcPr>
          <w:p w14:paraId="261A617C">
            <w:pPr>
              <w:widowControl/>
              <w:jc w:val="center"/>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合规</w:t>
            </w:r>
          </w:p>
        </w:tc>
      </w:tr>
      <w:tr w14:paraId="55719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69B7AF30">
            <w:pPr>
              <w:jc w:val="center"/>
              <w:rPr>
                <w:rFonts w:ascii="宋体" w:cs="宋体"/>
                <w:sz w:val="20"/>
              </w:rPr>
            </w:pPr>
          </w:p>
        </w:tc>
        <w:tc>
          <w:tcPr>
            <w:tcW w:w="723" w:type="dxa"/>
            <w:vMerge w:val="continue"/>
            <w:tcBorders>
              <w:tl2br w:val="nil"/>
              <w:tr2bl w:val="nil"/>
            </w:tcBorders>
            <w:vAlign w:val="center"/>
          </w:tcPr>
          <w:p w14:paraId="51E3824D">
            <w:pPr>
              <w:jc w:val="center"/>
              <w:rPr>
                <w:rFonts w:ascii="宋体" w:cs="宋体"/>
                <w:sz w:val="20"/>
              </w:rPr>
            </w:pPr>
          </w:p>
        </w:tc>
        <w:tc>
          <w:tcPr>
            <w:tcW w:w="759" w:type="dxa"/>
            <w:gridSpan w:val="2"/>
            <w:tcBorders>
              <w:tl2br w:val="nil"/>
              <w:tr2bl w:val="nil"/>
            </w:tcBorders>
            <w:vAlign w:val="center"/>
          </w:tcPr>
          <w:p w14:paraId="4AEA3B44">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时效指标</w:t>
            </w:r>
          </w:p>
        </w:tc>
        <w:tc>
          <w:tcPr>
            <w:tcW w:w="3161" w:type="dxa"/>
            <w:tcBorders>
              <w:tl2br w:val="nil"/>
              <w:tr2bl w:val="nil"/>
            </w:tcBorders>
            <w:vAlign w:val="center"/>
          </w:tcPr>
          <w:p w14:paraId="6B5AD27E">
            <w:pPr>
              <w:widowControl/>
              <w:jc w:val="center"/>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资金拨付及时性</w:t>
            </w:r>
          </w:p>
        </w:tc>
        <w:tc>
          <w:tcPr>
            <w:tcW w:w="3939" w:type="dxa"/>
            <w:gridSpan w:val="2"/>
            <w:tcBorders>
              <w:tl2br w:val="nil"/>
              <w:tr2bl w:val="nil"/>
            </w:tcBorders>
            <w:vAlign w:val="center"/>
          </w:tcPr>
          <w:p w14:paraId="4DC8BA70">
            <w:pPr>
              <w:widowControl/>
              <w:jc w:val="center"/>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及时</w:t>
            </w:r>
          </w:p>
        </w:tc>
      </w:tr>
      <w:tr w14:paraId="4D87F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1DF6EC67">
            <w:pPr>
              <w:jc w:val="center"/>
              <w:rPr>
                <w:rFonts w:ascii="宋体" w:cs="宋体"/>
                <w:sz w:val="20"/>
              </w:rPr>
            </w:pPr>
          </w:p>
        </w:tc>
        <w:tc>
          <w:tcPr>
            <w:tcW w:w="723" w:type="dxa"/>
            <w:vMerge w:val="continue"/>
            <w:tcBorders>
              <w:tl2br w:val="nil"/>
              <w:tr2bl w:val="nil"/>
            </w:tcBorders>
            <w:vAlign w:val="center"/>
          </w:tcPr>
          <w:p w14:paraId="51573D5C">
            <w:pPr>
              <w:jc w:val="center"/>
              <w:rPr>
                <w:rFonts w:ascii="宋体" w:cs="宋体"/>
                <w:sz w:val="20"/>
              </w:rPr>
            </w:pPr>
          </w:p>
        </w:tc>
        <w:tc>
          <w:tcPr>
            <w:tcW w:w="759" w:type="dxa"/>
            <w:gridSpan w:val="2"/>
            <w:tcBorders>
              <w:tl2br w:val="nil"/>
              <w:tr2bl w:val="nil"/>
            </w:tcBorders>
            <w:vAlign w:val="center"/>
          </w:tcPr>
          <w:p w14:paraId="52592CF0">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成本指标</w:t>
            </w:r>
          </w:p>
        </w:tc>
        <w:tc>
          <w:tcPr>
            <w:tcW w:w="3161" w:type="dxa"/>
            <w:tcBorders>
              <w:tl2br w:val="nil"/>
              <w:tr2bl w:val="nil"/>
            </w:tcBorders>
            <w:vAlign w:val="center"/>
          </w:tcPr>
          <w:p w14:paraId="3DEE7659">
            <w:pPr>
              <w:widowControl/>
              <w:jc w:val="center"/>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成本控制在预算内</w:t>
            </w:r>
          </w:p>
        </w:tc>
        <w:tc>
          <w:tcPr>
            <w:tcW w:w="3939" w:type="dxa"/>
            <w:gridSpan w:val="2"/>
            <w:tcBorders>
              <w:tl2br w:val="nil"/>
              <w:tr2bl w:val="nil"/>
            </w:tcBorders>
            <w:vAlign w:val="center"/>
          </w:tcPr>
          <w:p w14:paraId="70CD13A4">
            <w:pPr>
              <w:widowControl/>
              <w:jc w:val="center"/>
              <w:textAlignment w:val="center"/>
              <w:rPr>
                <w:rFonts w:hint="eastAsia" w:ascii="宋体" w:hAnsi="宋体" w:eastAsia="宋体" w:cs="宋体"/>
                <w:color w:val="000000"/>
                <w:kern w:val="0"/>
                <w:sz w:val="20"/>
                <w:szCs w:val="20"/>
                <w:lang w:val="en-US" w:eastAsia="zh-CN"/>
              </w:rPr>
            </w:pPr>
            <w:r>
              <w:rPr>
                <w:rFonts w:hint="eastAsia" w:ascii="Times New Roman" w:hAnsi="Times New Roman" w:eastAsia="宋体" w:cs="Times New Roman"/>
                <w:color w:val="000000"/>
                <w:kern w:val="0"/>
                <w:sz w:val="20"/>
                <w:szCs w:val="20"/>
                <w:lang w:val="en-US" w:eastAsia="zh-CN"/>
              </w:rPr>
              <w:t>140</w:t>
            </w:r>
            <w:r>
              <w:rPr>
                <w:rFonts w:hint="default" w:ascii="Times New Roman" w:hAnsi="Times New Roman" w:eastAsia="宋体" w:cs="Times New Roman"/>
                <w:color w:val="000000"/>
                <w:kern w:val="0"/>
                <w:sz w:val="20"/>
                <w:szCs w:val="20"/>
              </w:rPr>
              <w:t>000</w:t>
            </w:r>
            <w:r>
              <w:rPr>
                <w:rFonts w:hint="eastAsia" w:ascii="宋体" w:hAnsi="宋体" w:eastAsia="宋体" w:cs="宋体"/>
                <w:color w:val="000000"/>
                <w:kern w:val="0"/>
                <w:sz w:val="20"/>
                <w:szCs w:val="20"/>
                <w:lang w:val="en-US" w:eastAsia="zh-CN"/>
              </w:rPr>
              <w:t>元</w:t>
            </w:r>
          </w:p>
        </w:tc>
      </w:tr>
      <w:tr w14:paraId="2E2C7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07F14A7E">
            <w:pPr>
              <w:jc w:val="center"/>
              <w:rPr>
                <w:rFonts w:ascii="宋体" w:cs="宋体"/>
                <w:sz w:val="20"/>
              </w:rPr>
            </w:pPr>
          </w:p>
        </w:tc>
        <w:tc>
          <w:tcPr>
            <w:tcW w:w="723" w:type="dxa"/>
            <w:vMerge w:val="restart"/>
            <w:tcBorders>
              <w:tl2br w:val="nil"/>
              <w:tr2bl w:val="nil"/>
            </w:tcBorders>
            <w:vAlign w:val="center"/>
          </w:tcPr>
          <w:p w14:paraId="38804A20">
            <w:pPr>
              <w:widowControl/>
              <w:jc w:val="center"/>
              <w:textAlignment w:val="center"/>
              <w:rPr>
                <w:rFonts w:ascii="宋体" w:cs="宋体"/>
                <w:sz w:val="20"/>
              </w:rPr>
            </w:pPr>
            <w:r>
              <w:rPr>
                <w:rFonts w:hint="eastAsia" w:ascii="宋体" w:hAnsi="宋体" w:eastAsia="宋体" w:cs="宋体"/>
                <w:color w:val="000000"/>
                <w:kern w:val="0"/>
                <w:sz w:val="20"/>
                <w:szCs w:val="20"/>
              </w:rPr>
              <w:t>效益指标</w:t>
            </w:r>
          </w:p>
        </w:tc>
        <w:tc>
          <w:tcPr>
            <w:tcW w:w="759" w:type="dxa"/>
            <w:gridSpan w:val="2"/>
            <w:tcBorders>
              <w:tl2br w:val="nil"/>
              <w:tr2bl w:val="nil"/>
            </w:tcBorders>
            <w:vAlign w:val="center"/>
          </w:tcPr>
          <w:p w14:paraId="67972956">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经济效益指标</w:t>
            </w:r>
          </w:p>
        </w:tc>
        <w:tc>
          <w:tcPr>
            <w:tcW w:w="3161" w:type="dxa"/>
            <w:tcBorders>
              <w:tl2br w:val="nil"/>
              <w:tr2bl w:val="nil"/>
            </w:tcBorders>
            <w:vAlign w:val="center"/>
          </w:tcPr>
          <w:p w14:paraId="2BB3A42D">
            <w:pPr>
              <w:widowControl/>
              <w:jc w:val="center"/>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以科技促进经济发展</w:t>
            </w:r>
          </w:p>
          <w:p w14:paraId="17FAD063">
            <w:pPr>
              <w:widowControl/>
              <w:jc w:val="center"/>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加快扶贫村经济建设</w:t>
            </w:r>
          </w:p>
        </w:tc>
        <w:tc>
          <w:tcPr>
            <w:tcW w:w="3939" w:type="dxa"/>
            <w:gridSpan w:val="2"/>
            <w:tcBorders>
              <w:tl2br w:val="nil"/>
              <w:tr2bl w:val="nil"/>
            </w:tcBorders>
            <w:vAlign w:val="center"/>
          </w:tcPr>
          <w:p w14:paraId="79B07A41">
            <w:pPr>
              <w:widowControl/>
              <w:jc w:val="center"/>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效果显著</w:t>
            </w:r>
          </w:p>
        </w:tc>
      </w:tr>
      <w:tr w14:paraId="48AE4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2FB1F183">
            <w:pPr>
              <w:jc w:val="center"/>
              <w:rPr>
                <w:rFonts w:ascii="宋体" w:cs="宋体"/>
                <w:sz w:val="20"/>
              </w:rPr>
            </w:pPr>
          </w:p>
        </w:tc>
        <w:tc>
          <w:tcPr>
            <w:tcW w:w="723" w:type="dxa"/>
            <w:vMerge w:val="continue"/>
            <w:tcBorders>
              <w:tl2br w:val="nil"/>
              <w:tr2bl w:val="nil"/>
            </w:tcBorders>
            <w:vAlign w:val="center"/>
          </w:tcPr>
          <w:p w14:paraId="403ED7CB">
            <w:pPr>
              <w:jc w:val="center"/>
              <w:rPr>
                <w:rFonts w:ascii="宋体" w:cs="宋体"/>
                <w:sz w:val="20"/>
              </w:rPr>
            </w:pPr>
          </w:p>
        </w:tc>
        <w:tc>
          <w:tcPr>
            <w:tcW w:w="759" w:type="dxa"/>
            <w:gridSpan w:val="2"/>
            <w:tcBorders>
              <w:tl2br w:val="nil"/>
              <w:tr2bl w:val="nil"/>
            </w:tcBorders>
            <w:vAlign w:val="center"/>
          </w:tcPr>
          <w:p w14:paraId="5969684D">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社会效益指标</w:t>
            </w:r>
          </w:p>
        </w:tc>
        <w:tc>
          <w:tcPr>
            <w:tcW w:w="3161" w:type="dxa"/>
            <w:tcBorders>
              <w:tl2br w:val="nil"/>
              <w:tr2bl w:val="nil"/>
            </w:tcBorders>
            <w:vAlign w:val="center"/>
          </w:tcPr>
          <w:p w14:paraId="1B3851E5">
            <w:pPr>
              <w:widowControl/>
              <w:jc w:val="center"/>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提升全民科学素质</w:t>
            </w:r>
          </w:p>
          <w:p w14:paraId="60C59BC2">
            <w:pPr>
              <w:widowControl/>
              <w:jc w:val="center"/>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科普公共服务对公众参与科普机会、基层科</w:t>
            </w:r>
            <w:r>
              <w:rPr>
                <w:rFonts w:hint="eastAsia" w:ascii="宋体" w:hAnsi="宋体" w:eastAsia="宋体" w:cs="宋体"/>
                <w:color w:val="000000"/>
                <w:kern w:val="0"/>
                <w:sz w:val="20"/>
                <w:szCs w:val="20"/>
                <w:lang w:val="en-US" w:eastAsia="zh-CN"/>
              </w:rPr>
              <w:t>普</w:t>
            </w:r>
            <w:r>
              <w:rPr>
                <w:rFonts w:hint="eastAsia" w:ascii="宋体" w:hAnsi="宋体" w:eastAsia="宋体" w:cs="宋体"/>
                <w:color w:val="000000"/>
                <w:kern w:val="0"/>
                <w:sz w:val="20"/>
                <w:szCs w:val="20"/>
              </w:rPr>
              <w:t>服务均等化的影响</w:t>
            </w:r>
          </w:p>
          <w:p w14:paraId="03C29DB1">
            <w:pPr>
              <w:widowControl/>
              <w:jc w:val="center"/>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促进科普工作信息化水平提升</w:t>
            </w:r>
          </w:p>
        </w:tc>
        <w:tc>
          <w:tcPr>
            <w:tcW w:w="3939" w:type="dxa"/>
            <w:gridSpan w:val="2"/>
            <w:tcBorders>
              <w:tl2br w:val="nil"/>
              <w:tr2bl w:val="nil"/>
            </w:tcBorders>
            <w:vAlign w:val="center"/>
          </w:tcPr>
          <w:p w14:paraId="30F2B0A7">
            <w:pPr>
              <w:widowControl/>
              <w:jc w:val="center"/>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效果显著</w:t>
            </w:r>
          </w:p>
        </w:tc>
      </w:tr>
      <w:tr w14:paraId="3C867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34AA76DC">
            <w:pPr>
              <w:jc w:val="center"/>
              <w:rPr>
                <w:rFonts w:ascii="宋体" w:cs="宋体"/>
                <w:sz w:val="20"/>
              </w:rPr>
            </w:pPr>
          </w:p>
        </w:tc>
        <w:tc>
          <w:tcPr>
            <w:tcW w:w="723" w:type="dxa"/>
            <w:vMerge w:val="continue"/>
            <w:tcBorders>
              <w:tl2br w:val="nil"/>
              <w:tr2bl w:val="nil"/>
            </w:tcBorders>
            <w:vAlign w:val="center"/>
          </w:tcPr>
          <w:p w14:paraId="20829842">
            <w:pPr>
              <w:jc w:val="center"/>
              <w:rPr>
                <w:rFonts w:ascii="宋体" w:cs="宋体"/>
                <w:sz w:val="20"/>
              </w:rPr>
            </w:pPr>
          </w:p>
        </w:tc>
        <w:tc>
          <w:tcPr>
            <w:tcW w:w="759" w:type="dxa"/>
            <w:gridSpan w:val="2"/>
            <w:tcBorders>
              <w:tl2br w:val="nil"/>
              <w:tr2bl w:val="nil"/>
            </w:tcBorders>
            <w:vAlign w:val="center"/>
          </w:tcPr>
          <w:p w14:paraId="26F32D50">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生态效益指标</w:t>
            </w:r>
          </w:p>
        </w:tc>
        <w:tc>
          <w:tcPr>
            <w:tcW w:w="3161" w:type="dxa"/>
            <w:tcBorders>
              <w:tl2br w:val="nil"/>
              <w:tr2bl w:val="nil"/>
            </w:tcBorders>
            <w:vAlign w:val="center"/>
          </w:tcPr>
          <w:p w14:paraId="49A4C85D">
            <w:pPr>
              <w:widowControl/>
              <w:jc w:val="center"/>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提升公民环保理念</w:t>
            </w:r>
          </w:p>
        </w:tc>
        <w:tc>
          <w:tcPr>
            <w:tcW w:w="3939" w:type="dxa"/>
            <w:gridSpan w:val="2"/>
            <w:tcBorders>
              <w:tl2br w:val="nil"/>
              <w:tr2bl w:val="nil"/>
            </w:tcBorders>
            <w:vAlign w:val="center"/>
          </w:tcPr>
          <w:p w14:paraId="4DB05474">
            <w:pPr>
              <w:widowControl/>
              <w:jc w:val="center"/>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效果显著</w:t>
            </w:r>
          </w:p>
        </w:tc>
      </w:tr>
      <w:tr w14:paraId="7255D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438" w:type="dxa"/>
            <w:vMerge w:val="continue"/>
            <w:tcBorders>
              <w:tl2br w:val="nil"/>
              <w:tr2bl w:val="nil"/>
            </w:tcBorders>
            <w:vAlign w:val="center"/>
          </w:tcPr>
          <w:p w14:paraId="531B70DA">
            <w:pPr>
              <w:jc w:val="center"/>
              <w:rPr>
                <w:rFonts w:ascii="宋体" w:cs="宋体"/>
                <w:sz w:val="20"/>
              </w:rPr>
            </w:pPr>
          </w:p>
        </w:tc>
        <w:tc>
          <w:tcPr>
            <w:tcW w:w="723" w:type="dxa"/>
            <w:vMerge w:val="continue"/>
            <w:tcBorders>
              <w:tl2br w:val="nil"/>
              <w:tr2bl w:val="nil"/>
            </w:tcBorders>
            <w:vAlign w:val="center"/>
          </w:tcPr>
          <w:p w14:paraId="372B716B">
            <w:pPr>
              <w:jc w:val="center"/>
              <w:rPr>
                <w:rFonts w:ascii="宋体" w:cs="宋体"/>
                <w:sz w:val="20"/>
              </w:rPr>
            </w:pPr>
          </w:p>
        </w:tc>
        <w:tc>
          <w:tcPr>
            <w:tcW w:w="759" w:type="dxa"/>
            <w:gridSpan w:val="2"/>
            <w:tcBorders>
              <w:tl2br w:val="nil"/>
              <w:tr2bl w:val="nil"/>
            </w:tcBorders>
            <w:vAlign w:val="center"/>
          </w:tcPr>
          <w:p w14:paraId="367321DB">
            <w:pPr>
              <w:widowControl/>
              <w:spacing w:line="200" w:lineRule="exact"/>
              <w:jc w:val="center"/>
              <w:rPr>
                <w:rFonts w:ascii="宋体" w:hAnsi="宋体" w:eastAsia="宋体" w:cs="宋体"/>
                <w:sz w:val="20"/>
              </w:rPr>
            </w:pPr>
            <w:r>
              <w:rPr>
                <w:rFonts w:hint="eastAsia" w:ascii="宋体" w:hAnsi="宋体" w:eastAsia="宋体" w:cs="宋体"/>
                <w:sz w:val="20"/>
              </w:rPr>
              <w:t>可持续影响指标</w:t>
            </w:r>
          </w:p>
        </w:tc>
        <w:tc>
          <w:tcPr>
            <w:tcW w:w="3161" w:type="dxa"/>
            <w:tcBorders>
              <w:tl2br w:val="nil"/>
              <w:tr2bl w:val="nil"/>
            </w:tcBorders>
            <w:vAlign w:val="center"/>
          </w:tcPr>
          <w:p w14:paraId="0A3F2539">
            <w:pPr>
              <w:widowControl/>
              <w:jc w:val="center"/>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对现代科普体系、机制完善的影响程度</w:t>
            </w:r>
          </w:p>
        </w:tc>
        <w:tc>
          <w:tcPr>
            <w:tcW w:w="3939" w:type="dxa"/>
            <w:gridSpan w:val="2"/>
            <w:tcBorders>
              <w:tl2br w:val="nil"/>
              <w:tr2bl w:val="nil"/>
            </w:tcBorders>
            <w:vAlign w:val="center"/>
          </w:tcPr>
          <w:p w14:paraId="0E836062">
            <w:pPr>
              <w:widowControl/>
              <w:jc w:val="center"/>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效果显著</w:t>
            </w:r>
          </w:p>
        </w:tc>
      </w:tr>
      <w:tr w14:paraId="10658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57991030">
            <w:pPr>
              <w:jc w:val="center"/>
              <w:rPr>
                <w:rFonts w:ascii="宋体" w:cs="宋体"/>
                <w:sz w:val="20"/>
              </w:rPr>
            </w:pPr>
          </w:p>
        </w:tc>
        <w:tc>
          <w:tcPr>
            <w:tcW w:w="723" w:type="dxa"/>
            <w:tcBorders>
              <w:tl2br w:val="nil"/>
              <w:tr2bl w:val="nil"/>
            </w:tcBorders>
            <w:vAlign w:val="center"/>
          </w:tcPr>
          <w:p w14:paraId="608E387A">
            <w:pPr>
              <w:widowControl/>
              <w:spacing w:line="200" w:lineRule="exact"/>
              <w:jc w:val="center"/>
              <w:rPr>
                <w:rFonts w:ascii="宋体" w:hAnsi="宋体" w:eastAsia="宋体" w:cs="宋体"/>
                <w:sz w:val="20"/>
              </w:rPr>
            </w:pPr>
            <w:r>
              <w:rPr>
                <w:rFonts w:hint="eastAsia" w:ascii="宋体" w:hAnsi="宋体" w:eastAsia="宋体" w:cs="宋体"/>
                <w:sz w:val="20"/>
              </w:rPr>
              <w:t>满意度指标</w:t>
            </w:r>
          </w:p>
        </w:tc>
        <w:tc>
          <w:tcPr>
            <w:tcW w:w="759" w:type="dxa"/>
            <w:gridSpan w:val="2"/>
            <w:tcBorders>
              <w:tl2br w:val="nil"/>
              <w:tr2bl w:val="nil"/>
            </w:tcBorders>
            <w:vAlign w:val="center"/>
          </w:tcPr>
          <w:p w14:paraId="32331961">
            <w:pPr>
              <w:widowControl/>
              <w:spacing w:line="200" w:lineRule="exact"/>
              <w:jc w:val="center"/>
              <w:rPr>
                <w:rFonts w:ascii="宋体" w:hAnsi="宋体" w:eastAsia="宋体" w:cs="宋体"/>
                <w:sz w:val="20"/>
              </w:rPr>
            </w:pPr>
            <w:r>
              <w:rPr>
                <w:rFonts w:hint="eastAsia" w:ascii="宋体" w:hAnsi="宋体" w:eastAsia="宋体" w:cs="宋体"/>
                <w:sz w:val="20"/>
              </w:rPr>
              <w:t>满意度指标</w:t>
            </w:r>
          </w:p>
        </w:tc>
        <w:tc>
          <w:tcPr>
            <w:tcW w:w="3161" w:type="dxa"/>
            <w:tcBorders>
              <w:tl2br w:val="nil"/>
              <w:tr2bl w:val="nil"/>
            </w:tcBorders>
            <w:vAlign w:val="center"/>
          </w:tcPr>
          <w:p w14:paraId="0E8B521D">
            <w:pPr>
              <w:widowControl/>
              <w:jc w:val="center"/>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受众满意度</w:t>
            </w:r>
          </w:p>
        </w:tc>
        <w:tc>
          <w:tcPr>
            <w:tcW w:w="3939" w:type="dxa"/>
            <w:gridSpan w:val="2"/>
            <w:tcBorders>
              <w:tl2br w:val="nil"/>
              <w:tr2bl w:val="nil"/>
            </w:tcBorders>
            <w:vAlign w:val="center"/>
          </w:tcPr>
          <w:p w14:paraId="7483CDA1">
            <w:pPr>
              <w:widowControl/>
              <w:jc w:val="center"/>
              <w:textAlignment w:val="center"/>
              <w:rPr>
                <w:rFonts w:hint="default" w:ascii="宋体" w:hAnsi="宋体" w:eastAsia="宋体" w:cs="宋体"/>
                <w:color w:val="000000"/>
                <w:kern w:val="0"/>
                <w:sz w:val="20"/>
                <w:szCs w:val="20"/>
                <w:lang w:val="en-US" w:eastAsia="zh-CN"/>
              </w:rPr>
            </w:pPr>
            <w:r>
              <w:rPr>
                <w:rFonts w:hint="eastAsia" w:ascii="Times New Roman" w:hAnsi="Times New Roman" w:eastAsia="宋体" w:cs="Times New Roman"/>
                <w:color w:val="000000"/>
                <w:kern w:val="0"/>
                <w:sz w:val="20"/>
                <w:szCs w:val="20"/>
                <w:lang w:val="en-US" w:eastAsia="zh-CN"/>
              </w:rPr>
              <w:t>80</w:t>
            </w:r>
          </w:p>
        </w:tc>
      </w:tr>
    </w:tbl>
    <w:p w14:paraId="6A74B8DD">
      <w:pPr>
        <w:adjustRightInd w:val="0"/>
        <w:snapToGrid w:val="0"/>
        <w:spacing w:line="58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（二）机关运行经费。</w:t>
      </w:r>
    </w:p>
    <w:p w14:paraId="563AF41B">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lang w:eastAsia="zh-CN"/>
        </w:rPr>
        <w:t>淮北市科学技术协会（本级）</w:t>
      </w:r>
      <w:r>
        <w:rPr>
          <w:rFonts w:hint="eastAsia" w:ascii="TimesNewRoman" w:hAnsi="TimesNewRoman" w:eastAsia="仿宋_GB2312" w:cs="TimesNewRoman"/>
          <w:kern w:val="0"/>
          <w:sz w:val="32"/>
          <w:szCs w:val="32"/>
        </w:rPr>
        <w:t>2025年机关运行经费财政拨款预算</w:t>
      </w:r>
      <w:r>
        <w:rPr>
          <w:rFonts w:hint="eastAsia" w:ascii="TimesNewRoman" w:hAnsi="TimesNewRoman" w:eastAsia="仿宋_GB2312" w:cs="TimesNewRoman"/>
          <w:kern w:val="0"/>
          <w:sz w:val="32"/>
          <w:szCs w:val="32"/>
          <w:lang w:val="en-US" w:eastAsia="zh-CN"/>
        </w:rPr>
        <w:t>23.92</w:t>
      </w:r>
      <w:r>
        <w:rPr>
          <w:rFonts w:hint="eastAsia" w:ascii="TimesNewRoman" w:hAnsi="TimesNewRoman" w:eastAsia="仿宋_GB2312" w:cs="TimesNewRoman"/>
          <w:kern w:val="0"/>
          <w:sz w:val="32"/>
          <w:szCs w:val="32"/>
        </w:rPr>
        <w:t>万元，比2024年预算增加</w:t>
      </w:r>
      <w:r>
        <w:rPr>
          <w:rFonts w:hint="eastAsia" w:ascii="TimesNewRoman" w:hAnsi="TimesNewRoman" w:eastAsia="仿宋_GB2312" w:cs="TimesNewRoman"/>
          <w:kern w:val="0"/>
          <w:sz w:val="32"/>
          <w:szCs w:val="32"/>
          <w:lang w:val="en-US" w:eastAsia="zh-CN"/>
        </w:rPr>
        <w:t>0.47</w:t>
      </w:r>
      <w:r>
        <w:rPr>
          <w:rFonts w:hint="eastAsia" w:ascii="TimesNewRoman" w:hAnsi="TimesNewRoman" w:eastAsia="仿宋_GB2312" w:cs="TimesNewRoman"/>
          <w:kern w:val="0"/>
          <w:sz w:val="32"/>
          <w:szCs w:val="32"/>
        </w:rPr>
        <w:t>万元，增长</w:t>
      </w:r>
      <w:r>
        <w:rPr>
          <w:rFonts w:hint="eastAsia" w:ascii="TimesNewRoman" w:hAnsi="TimesNewRoman" w:eastAsia="仿宋_GB2312" w:cs="TimesNewRoman"/>
          <w:kern w:val="0"/>
          <w:sz w:val="32"/>
          <w:szCs w:val="32"/>
          <w:lang w:val="en-US" w:eastAsia="zh-CN"/>
        </w:rPr>
        <w:t>2</w:t>
      </w:r>
      <w:r>
        <w:rPr>
          <w:rFonts w:hint="eastAsia" w:ascii="TimesNewRoman" w:hAnsi="TimesNewRoman" w:eastAsia="仿宋_GB2312" w:cs="TimesNewRoman"/>
          <w:kern w:val="0"/>
          <w:sz w:val="32"/>
          <w:szCs w:val="32"/>
        </w:rPr>
        <w:t>%，原因主要是其他交通费用</w:t>
      </w:r>
      <w:r>
        <w:rPr>
          <w:rFonts w:hint="eastAsia" w:ascii="TimesNewRoman" w:hAnsi="TimesNewRoman" w:eastAsia="仿宋_GB2312" w:cs="TimesNewRoman"/>
          <w:kern w:val="0"/>
          <w:sz w:val="32"/>
          <w:szCs w:val="32"/>
          <w:lang w:val="en-US" w:eastAsia="zh-CN"/>
        </w:rPr>
        <w:t>增加</w:t>
      </w:r>
      <w:r>
        <w:rPr>
          <w:rFonts w:hint="eastAsia" w:ascii="TimesNewRoman" w:hAnsi="TimesNewRoman" w:eastAsia="仿宋_GB2312" w:cs="TimesNewRoman"/>
          <w:kern w:val="0"/>
          <w:sz w:val="32"/>
          <w:szCs w:val="32"/>
        </w:rPr>
        <w:t>。</w:t>
      </w:r>
    </w:p>
    <w:p w14:paraId="52062FC0">
      <w:pPr>
        <w:adjustRightInd w:val="0"/>
        <w:snapToGrid w:val="0"/>
        <w:spacing w:line="58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（三）政府采购情况。</w:t>
      </w:r>
    </w:p>
    <w:p w14:paraId="616ECD8B">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lang w:eastAsia="zh-CN"/>
        </w:rPr>
        <w:t>淮北市科学技术协会（本级）</w:t>
      </w:r>
      <w:r>
        <w:rPr>
          <w:rFonts w:hint="eastAsia" w:ascii="TimesNewRoman" w:hAnsi="TimesNewRoman" w:eastAsia="仿宋_GB2312" w:cs="TimesNewRoman"/>
          <w:kern w:val="0"/>
          <w:sz w:val="32"/>
          <w:szCs w:val="32"/>
        </w:rPr>
        <w:t>2025年政府采购预算</w:t>
      </w:r>
      <w:r>
        <w:rPr>
          <w:rFonts w:hint="eastAsia" w:ascii="TimesNewRoman" w:hAnsi="TimesNewRoman" w:eastAsia="仿宋_GB2312" w:cs="TimesNewRoman"/>
          <w:kern w:val="0"/>
          <w:sz w:val="32"/>
          <w:szCs w:val="32"/>
          <w:lang w:val="en-US" w:eastAsia="zh-CN"/>
        </w:rPr>
        <w:t>0.5</w:t>
      </w:r>
      <w:r>
        <w:rPr>
          <w:rFonts w:hint="eastAsia" w:ascii="TimesNewRoman" w:hAnsi="TimesNewRoman" w:eastAsia="仿宋_GB2312" w:cs="TimesNewRoman"/>
          <w:kern w:val="0"/>
          <w:sz w:val="32"/>
          <w:szCs w:val="32"/>
        </w:rPr>
        <w:t>万元。其中：政府采购货物预算</w:t>
      </w:r>
      <w:r>
        <w:rPr>
          <w:rFonts w:hint="eastAsia" w:ascii="TimesNewRoman" w:hAnsi="TimesNewRoman" w:eastAsia="仿宋_GB2312" w:cs="TimesNewRoman"/>
          <w:kern w:val="0"/>
          <w:sz w:val="32"/>
          <w:szCs w:val="32"/>
          <w:lang w:val="en-US" w:eastAsia="zh-CN"/>
        </w:rPr>
        <w:t>0.50</w:t>
      </w:r>
      <w:r>
        <w:rPr>
          <w:rFonts w:hint="eastAsia" w:ascii="TimesNewRoman" w:hAnsi="TimesNewRoman" w:eastAsia="仿宋_GB2312" w:cs="TimesNewRoman"/>
          <w:kern w:val="0"/>
          <w:sz w:val="32"/>
          <w:szCs w:val="32"/>
        </w:rPr>
        <w:t>万元，政府采购工程预算</w:t>
      </w:r>
      <w:r>
        <w:rPr>
          <w:rFonts w:hint="eastAsia" w:ascii="TimesNewRoman" w:hAnsi="TimesNewRoman" w:eastAsia="仿宋_GB2312" w:cs="TimesNewRoman"/>
          <w:kern w:val="0"/>
          <w:sz w:val="32"/>
          <w:szCs w:val="32"/>
          <w:lang w:val="en-US" w:eastAsia="zh-CN"/>
        </w:rPr>
        <w:t>0.00</w:t>
      </w:r>
      <w:r>
        <w:rPr>
          <w:rFonts w:hint="eastAsia" w:ascii="TimesNewRoman" w:hAnsi="TimesNewRoman" w:eastAsia="仿宋_GB2312" w:cs="TimesNewRoman"/>
          <w:kern w:val="0"/>
          <w:sz w:val="32"/>
          <w:szCs w:val="32"/>
        </w:rPr>
        <w:t>万元，政府采购服务预算</w:t>
      </w:r>
      <w:r>
        <w:rPr>
          <w:rFonts w:hint="eastAsia" w:ascii="TimesNewRoman" w:hAnsi="TimesNewRoman" w:eastAsia="仿宋_GB2312" w:cs="TimesNewRoman"/>
          <w:kern w:val="0"/>
          <w:sz w:val="32"/>
          <w:szCs w:val="32"/>
          <w:lang w:val="en-US" w:eastAsia="zh-CN"/>
        </w:rPr>
        <w:t>0.00</w:t>
      </w:r>
      <w:r>
        <w:rPr>
          <w:rFonts w:hint="eastAsia" w:ascii="TimesNewRoman" w:hAnsi="TimesNewRoman" w:eastAsia="仿宋_GB2312" w:cs="TimesNewRoman"/>
          <w:kern w:val="0"/>
          <w:sz w:val="32"/>
          <w:szCs w:val="32"/>
        </w:rPr>
        <w:t>万元。</w:t>
      </w:r>
    </w:p>
    <w:p w14:paraId="1721B2A1">
      <w:pPr>
        <w:adjustRightInd w:val="0"/>
        <w:snapToGrid w:val="0"/>
        <w:spacing w:line="58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（四）国有资产占有使用情况。</w:t>
      </w:r>
    </w:p>
    <w:p w14:paraId="59D41ED6">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截至</w:t>
      </w:r>
      <w:r>
        <w:rPr>
          <w:rFonts w:hint="default" w:ascii="Times New Roman" w:hAnsi="Times New Roman" w:eastAsia="仿宋_GB2312" w:cs="Times New Roman"/>
          <w:kern w:val="0"/>
          <w:sz w:val="32"/>
          <w:szCs w:val="32"/>
        </w:rPr>
        <w:t>202</w:t>
      </w:r>
      <w:r>
        <w:rPr>
          <w:rFonts w:hint="eastAsia" w:ascii="Times New Roman" w:hAnsi="Times New Roman" w:eastAsia="仿宋_GB2312" w:cs="Times New Roman"/>
          <w:kern w:val="0"/>
          <w:sz w:val="32"/>
          <w:szCs w:val="32"/>
          <w:lang w:val="en-US" w:eastAsia="zh-CN"/>
        </w:rPr>
        <w:t>4</w:t>
      </w:r>
      <w:r>
        <w:rPr>
          <w:rFonts w:hint="eastAsia" w:ascii="TimesNewRoman" w:hAnsi="TimesNewRoman" w:eastAsia="仿宋_GB2312" w:cs="TimesNewRoman"/>
          <w:kern w:val="0"/>
          <w:sz w:val="32"/>
          <w:szCs w:val="32"/>
        </w:rPr>
        <w:t>年</w:t>
      </w:r>
      <w:r>
        <w:rPr>
          <w:rFonts w:hint="default" w:ascii="Times New Roman" w:hAnsi="Times New Roman" w:eastAsia="仿宋_GB2312" w:cs="Times New Roman"/>
          <w:kern w:val="0"/>
          <w:sz w:val="32"/>
          <w:szCs w:val="32"/>
        </w:rPr>
        <w:t>12</w:t>
      </w:r>
      <w:r>
        <w:rPr>
          <w:rFonts w:hint="eastAsia" w:ascii="TimesNewRoman" w:hAnsi="TimesNewRoman" w:eastAsia="仿宋_GB2312" w:cs="TimesNewRoman"/>
          <w:kern w:val="0"/>
          <w:sz w:val="32"/>
          <w:szCs w:val="32"/>
        </w:rPr>
        <w:t>月</w:t>
      </w:r>
      <w:r>
        <w:rPr>
          <w:rFonts w:hint="default" w:ascii="Times New Roman" w:hAnsi="Times New Roman" w:eastAsia="仿宋_GB2312" w:cs="Times New Roman"/>
          <w:kern w:val="0"/>
          <w:sz w:val="32"/>
          <w:szCs w:val="32"/>
        </w:rPr>
        <w:t>31</w:t>
      </w:r>
      <w:r>
        <w:rPr>
          <w:rFonts w:hint="eastAsia" w:ascii="TimesNewRoman" w:hAnsi="TimesNewRoman" w:eastAsia="仿宋_GB2312" w:cs="TimesNewRoman"/>
          <w:kern w:val="0"/>
          <w:sz w:val="32"/>
          <w:szCs w:val="32"/>
        </w:rPr>
        <w:t>日，</w:t>
      </w:r>
      <w:r>
        <w:rPr>
          <w:rFonts w:hint="eastAsia" w:ascii="TimesNewRoman" w:hAnsi="TimesNewRoman" w:eastAsia="仿宋_GB2312" w:cs="TimesNewRoman"/>
          <w:kern w:val="0"/>
          <w:sz w:val="32"/>
          <w:szCs w:val="32"/>
          <w:lang w:eastAsia="zh-CN"/>
        </w:rPr>
        <w:t>淮北市科学技术协会（本级）</w:t>
      </w:r>
      <w:r>
        <w:rPr>
          <w:rFonts w:hint="eastAsia" w:ascii="TimesNewRoman" w:hAnsi="TimesNewRoman" w:eastAsia="仿宋_GB2312" w:cs="TimesNewRoman"/>
          <w:kern w:val="0"/>
          <w:sz w:val="32"/>
          <w:szCs w:val="32"/>
        </w:rPr>
        <w:t>共有车辆</w:t>
      </w:r>
      <w:r>
        <w:rPr>
          <w:rFonts w:hint="default" w:ascii="Times New Roman" w:hAnsi="Times New Roman" w:eastAsia="仿宋_GB2312" w:cs="Times New Roman"/>
          <w:kern w:val="0"/>
          <w:sz w:val="32"/>
          <w:szCs w:val="32"/>
          <w:lang w:val="en-US" w:eastAsia="zh-CN"/>
        </w:rPr>
        <w:t>1</w:t>
      </w:r>
      <w:r>
        <w:rPr>
          <w:rFonts w:hint="eastAsia" w:ascii="TimesNewRoman" w:hAnsi="TimesNewRoman" w:eastAsia="仿宋_GB2312" w:cs="TimesNewRoman"/>
          <w:kern w:val="0"/>
          <w:sz w:val="32"/>
          <w:szCs w:val="32"/>
        </w:rPr>
        <w:t>辆，其中：特种专业技术用车</w:t>
      </w:r>
      <w:r>
        <w:rPr>
          <w:rFonts w:hint="default" w:ascii="Times New Roman" w:hAnsi="Times New Roman" w:eastAsia="仿宋_GB2312" w:cs="Times New Roman"/>
          <w:kern w:val="0"/>
          <w:sz w:val="32"/>
          <w:szCs w:val="32"/>
          <w:lang w:val="en-US" w:eastAsia="zh-CN"/>
        </w:rPr>
        <w:t>1</w:t>
      </w:r>
      <w:r>
        <w:rPr>
          <w:rFonts w:hint="eastAsia" w:ascii="TimesNewRoman" w:hAnsi="TimesNewRoman" w:eastAsia="仿宋_GB2312" w:cs="TimesNewRoman"/>
          <w:kern w:val="0"/>
          <w:sz w:val="32"/>
          <w:szCs w:val="32"/>
        </w:rPr>
        <w:t>辆。单价</w:t>
      </w:r>
      <w:r>
        <w:rPr>
          <w:rFonts w:hint="default" w:ascii="Times New Roman" w:hAnsi="Times New Roman" w:eastAsia="仿宋_GB2312" w:cs="Times New Roman"/>
          <w:kern w:val="0"/>
          <w:sz w:val="32"/>
          <w:szCs w:val="32"/>
        </w:rPr>
        <w:t>50</w:t>
      </w:r>
      <w:r>
        <w:rPr>
          <w:rFonts w:hint="eastAsia" w:ascii="TimesNewRoman" w:hAnsi="TimesNewRoman" w:eastAsia="仿宋_GB2312" w:cs="TimesNewRoman"/>
          <w:kern w:val="0"/>
          <w:sz w:val="32"/>
          <w:szCs w:val="32"/>
        </w:rPr>
        <w:t>万元以上的通用设备</w:t>
      </w:r>
      <w:r>
        <w:rPr>
          <w:rFonts w:hint="default" w:ascii="Times New Roman" w:hAnsi="Times New Roman" w:eastAsia="仿宋_GB2312" w:cs="Times New Roman"/>
          <w:kern w:val="0"/>
          <w:sz w:val="32"/>
          <w:szCs w:val="32"/>
          <w:lang w:val="en-US" w:eastAsia="zh-CN"/>
        </w:rPr>
        <w:t>0</w:t>
      </w:r>
      <w:r>
        <w:rPr>
          <w:rFonts w:hint="eastAsia" w:ascii="TimesNewRoman" w:hAnsi="TimesNewRoman" w:eastAsia="仿宋_GB2312" w:cs="TimesNewRoman"/>
          <w:kern w:val="0"/>
          <w:sz w:val="32"/>
          <w:szCs w:val="32"/>
        </w:rPr>
        <w:t>台（套），单价</w:t>
      </w:r>
      <w:r>
        <w:rPr>
          <w:rFonts w:hint="default" w:ascii="Times New Roman" w:hAnsi="Times New Roman" w:eastAsia="仿宋_GB2312" w:cs="Times New Roman"/>
          <w:kern w:val="0"/>
          <w:sz w:val="32"/>
          <w:szCs w:val="32"/>
        </w:rPr>
        <w:t>100</w:t>
      </w:r>
      <w:r>
        <w:rPr>
          <w:rFonts w:hint="eastAsia" w:ascii="TimesNewRoman" w:hAnsi="TimesNewRoman" w:eastAsia="仿宋_GB2312" w:cs="TimesNewRoman"/>
          <w:kern w:val="0"/>
          <w:sz w:val="32"/>
          <w:szCs w:val="32"/>
        </w:rPr>
        <w:t>万元以上的专用设备</w:t>
      </w:r>
      <w:r>
        <w:rPr>
          <w:rFonts w:hint="default" w:ascii="Times New Roman" w:hAnsi="Times New Roman" w:eastAsia="仿宋_GB2312" w:cs="Times New Roman"/>
          <w:kern w:val="0"/>
          <w:sz w:val="32"/>
          <w:szCs w:val="32"/>
          <w:lang w:val="en-US" w:eastAsia="zh-CN"/>
        </w:rPr>
        <w:t>0</w:t>
      </w:r>
      <w:r>
        <w:rPr>
          <w:rFonts w:hint="eastAsia" w:ascii="TimesNewRoman" w:hAnsi="TimesNewRoman" w:eastAsia="仿宋_GB2312" w:cs="TimesNewRoman"/>
          <w:kern w:val="0"/>
          <w:sz w:val="32"/>
          <w:szCs w:val="32"/>
        </w:rPr>
        <w:t>台（套）。</w:t>
      </w:r>
    </w:p>
    <w:p w14:paraId="0413CB06">
      <w:pPr>
        <w:ind w:firstLine="640" w:firstLineChars="200"/>
        <w:rPr>
          <w:rFonts w:ascii="TimesNewRoman" w:hAnsi="TimesNewRoman" w:eastAsia="仿宋_GB2312" w:cs="TimesNewRoman"/>
          <w:kern w:val="0"/>
          <w:sz w:val="32"/>
          <w:szCs w:val="32"/>
        </w:rPr>
      </w:pPr>
      <w:r>
        <w:rPr>
          <w:rFonts w:hint="default" w:ascii="Times New Roman" w:hAnsi="Times New Roman" w:eastAsia="仿宋_GB2312" w:cs="Times New Roman"/>
          <w:kern w:val="0"/>
          <w:sz w:val="32"/>
          <w:szCs w:val="32"/>
        </w:rPr>
        <w:t>202</w:t>
      </w:r>
      <w:r>
        <w:rPr>
          <w:rFonts w:hint="eastAsia" w:ascii="Times New Roman" w:hAnsi="Times New Roman" w:eastAsia="仿宋_GB2312" w:cs="Times New Roman"/>
          <w:kern w:val="0"/>
          <w:sz w:val="32"/>
          <w:szCs w:val="32"/>
          <w:lang w:val="en-US" w:eastAsia="zh-CN"/>
        </w:rPr>
        <w:t>5</w:t>
      </w:r>
      <w:r>
        <w:rPr>
          <w:rFonts w:hint="eastAsia" w:ascii="TimesNewRoman" w:hAnsi="TimesNewRoman" w:eastAsia="仿宋_GB2312" w:cs="TimesNewRoman"/>
          <w:kern w:val="0"/>
          <w:sz w:val="32"/>
          <w:szCs w:val="32"/>
        </w:rPr>
        <w:t>年</w:t>
      </w:r>
      <w:r>
        <w:rPr>
          <w:rFonts w:hint="eastAsia" w:ascii="TimesNewRoman" w:hAnsi="TimesNewRoman" w:eastAsia="仿宋_GB2312" w:cs="TimesNewRoman"/>
          <w:kern w:val="0"/>
          <w:sz w:val="32"/>
          <w:szCs w:val="32"/>
          <w:lang w:eastAsia="zh-CN"/>
        </w:rPr>
        <w:t>单位</w:t>
      </w:r>
      <w:r>
        <w:rPr>
          <w:rFonts w:hint="eastAsia" w:ascii="TimesNewRoman" w:hAnsi="TimesNewRoman" w:eastAsia="仿宋_GB2312" w:cs="TimesNewRoman"/>
          <w:kern w:val="0"/>
          <w:sz w:val="32"/>
          <w:szCs w:val="32"/>
        </w:rPr>
        <w:t>预算安排购置公务用车</w:t>
      </w:r>
      <w:r>
        <w:rPr>
          <w:rFonts w:hint="default" w:ascii="Times New Roman" w:hAnsi="Times New Roman" w:eastAsia="仿宋_GB2312" w:cs="Times New Roman"/>
          <w:kern w:val="0"/>
          <w:sz w:val="32"/>
          <w:szCs w:val="32"/>
          <w:lang w:val="en-US" w:eastAsia="zh-CN"/>
        </w:rPr>
        <w:t>0</w:t>
      </w:r>
      <w:r>
        <w:rPr>
          <w:rFonts w:hint="eastAsia" w:ascii="TimesNewRoman" w:hAnsi="TimesNewRoman" w:eastAsia="仿宋_GB2312" w:cs="TimesNewRoman"/>
          <w:kern w:val="0"/>
          <w:sz w:val="32"/>
          <w:szCs w:val="32"/>
        </w:rPr>
        <w:t>辆，购置费</w:t>
      </w:r>
      <w:r>
        <w:rPr>
          <w:rFonts w:hint="default" w:ascii="Times New Roman" w:hAnsi="Times New Roman" w:eastAsia="仿宋_GB2312" w:cs="Times New Roman"/>
          <w:kern w:val="0"/>
          <w:sz w:val="32"/>
          <w:szCs w:val="32"/>
          <w:lang w:val="en-US" w:eastAsia="zh-CN"/>
        </w:rPr>
        <w:t>0</w:t>
      </w:r>
      <w:r>
        <w:rPr>
          <w:rFonts w:hint="eastAsia" w:ascii="TimesNewRoman" w:hAnsi="TimesNewRoman" w:eastAsia="仿宋_GB2312" w:cs="TimesNewRoman"/>
          <w:kern w:val="0"/>
          <w:sz w:val="32"/>
          <w:szCs w:val="32"/>
        </w:rPr>
        <w:t>万元；安排购置单价</w:t>
      </w:r>
      <w:r>
        <w:rPr>
          <w:rFonts w:hint="default" w:ascii="Times New Roman" w:hAnsi="Times New Roman" w:eastAsia="仿宋_GB2312" w:cs="Times New Roman"/>
          <w:kern w:val="0"/>
          <w:sz w:val="32"/>
          <w:szCs w:val="32"/>
        </w:rPr>
        <w:t>50</w:t>
      </w:r>
      <w:r>
        <w:rPr>
          <w:rFonts w:hint="eastAsia" w:ascii="TimesNewRoman" w:hAnsi="TimesNewRoman" w:eastAsia="仿宋_GB2312" w:cs="TimesNewRoman"/>
          <w:kern w:val="0"/>
          <w:sz w:val="32"/>
          <w:szCs w:val="32"/>
        </w:rPr>
        <w:t>万元以上的通用设备</w:t>
      </w:r>
      <w:r>
        <w:rPr>
          <w:rFonts w:hint="default" w:ascii="Times New Roman" w:hAnsi="Times New Roman" w:eastAsia="仿宋_GB2312" w:cs="Times New Roman"/>
          <w:kern w:val="0"/>
          <w:sz w:val="32"/>
          <w:szCs w:val="32"/>
          <w:lang w:val="en-US" w:eastAsia="zh-CN"/>
        </w:rPr>
        <w:t>0</w:t>
      </w:r>
      <w:r>
        <w:rPr>
          <w:rFonts w:hint="eastAsia" w:ascii="TimesNewRoman" w:hAnsi="TimesNewRoman" w:eastAsia="仿宋_GB2312" w:cs="TimesNewRoman"/>
          <w:kern w:val="0"/>
          <w:sz w:val="32"/>
          <w:szCs w:val="32"/>
        </w:rPr>
        <w:t>台（套），购置费</w:t>
      </w:r>
      <w:r>
        <w:rPr>
          <w:rFonts w:hint="default" w:ascii="Times New Roman" w:hAnsi="Times New Roman" w:eastAsia="仿宋_GB2312" w:cs="Times New Roman"/>
          <w:kern w:val="0"/>
          <w:sz w:val="32"/>
          <w:szCs w:val="32"/>
          <w:lang w:val="en-US" w:eastAsia="zh-CN"/>
        </w:rPr>
        <w:t>0</w:t>
      </w:r>
      <w:r>
        <w:rPr>
          <w:rFonts w:hint="eastAsia" w:ascii="TimesNewRoman" w:hAnsi="TimesNewRoman" w:eastAsia="仿宋_GB2312" w:cs="TimesNewRoman"/>
          <w:kern w:val="0"/>
          <w:sz w:val="32"/>
          <w:szCs w:val="32"/>
        </w:rPr>
        <w:t>万元；安排购置单价</w:t>
      </w:r>
      <w:r>
        <w:rPr>
          <w:rFonts w:hint="default" w:ascii="Times New Roman" w:hAnsi="Times New Roman" w:eastAsia="仿宋_GB2312" w:cs="Times New Roman"/>
          <w:kern w:val="0"/>
          <w:sz w:val="32"/>
          <w:szCs w:val="32"/>
        </w:rPr>
        <w:t>100</w:t>
      </w:r>
      <w:r>
        <w:rPr>
          <w:rFonts w:hint="eastAsia" w:ascii="TimesNewRoman" w:hAnsi="TimesNewRoman" w:eastAsia="仿宋_GB2312" w:cs="TimesNewRoman"/>
          <w:kern w:val="0"/>
          <w:sz w:val="32"/>
          <w:szCs w:val="32"/>
        </w:rPr>
        <w:t>万元以上专用设备</w:t>
      </w:r>
      <w:r>
        <w:rPr>
          <w:rFonts w:hint="default" w:ascii="Times New Roman" w:hAnsi="Times New Roman" w:eastAsia="仿宋_GB2312" w:cs="Times New Roman"/>
          <w:kern w:val="0"/>
          <w:sz w:val="32"/>
          <w:szCs w:val="32"/>
          <w:lang w:val="en-US" w:eastAsia="zh-CN"/>
        </w:rPr>
        <w:t>0</w:t>
      </w:r>
      <w:r>
        <w:rPr>
          <w:rFonts w:hint="eastAsia" w:ascii="TimesNewRoman" w:hAnsi="TimesNewRoman" w:eastAsia="仿宋_GB2312" w:cs="TimesNewRoman"/>
          <w:kern w:val="0"/>
          <w:sz w:val="32"/>
          <w:szCs w:val="32"/>
        </w:rPr>
        <w:t>台（套），购置费</w:t>
      </w:r>
      <w:r>
        <w:rPr>
          <w:rFonts w:hint="default" w:ascii="Times New Roman" w:hAnsi="Times New Roman" w:eastAsia="仿宋_GB2312" w:cs="Times New Roman"/>
          <w:kern w:val="0"/>
          <w:sz w:val="32"/>
          <w:szCs w:val="32"/>
          <w:lang w:val="en-US" w:eastAsia="zh-CN"/>
        </w:rPr>
        <w:t>0</w:t>
      </w:r>
      <w:r>
        <w:rPr>
          <w:rFonts w:hint="eastAsia" w:ascii="TimesNewRoman" w:hAnsi="TimesNewRoman" w:eastAsia="仿宋_GB2312" w:cs="TimesNewRoman"/>
          <w:kern w:val="0"/>
          <w:sz w:val="32"/>
          <w:szCs w:val="32"/>
        </w:rPr>
        <w:t>万元。</w:t>
      </w:r>
    </w:p>
    <w:p w14:paraId="6F470510">
      <w:pPr>
        <w:adjustRightInd w:val="0"/>
        <w:snapToGrid w:val="0"/>
        <w:spacing w:line="58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（五）绩效目标设置情况。</w:t>
      </w:r>
    </w:p>
    <w:p w14:paraId="0F29BFD9">
      <w:pPr>
        <w:ind w:firstLine="640" w:firstLineChars="200"/>
        <w:rPr>
          <w:rFonts w:ascii="TimesNewRoman" w:hAnsi="TimesNewRoman" w:eastAsia="黑体" w:cs="TimesNewRoman"/>
          <w:bCs/>
          <w:sz w:val="36"/>
          <w:szCs w:val="36"/>
        </w:rPr>
      </w:pPr>
      <w:r>
        <w:rPr>
          <w:rFonts w:hint="eastAsia" w:ascii="TimesNewRoman" w:hAnsi="TimesNewRoman" w:eastAsia="仿宋_GB2312" w:cs="TimesNewRoman"/>
          <w:kern w:val="0"/>
          <w:sz w:val="32"/>
          <w:szCs w:val="32"/>
        </w:rPr>
        <w:t>2025年，</w:t>
      </w:r>
      <w:r>
        <w:rPr>
          <w:rFonts w:hint="eastAsia" w:ascii="TimesNewRoman" w:hAnsi="TimesNewRoman" w:eastAsia="仿宋_GB2312" w:cs="TimesNewRoman"/>
          <w:kern w:val="0"/>
          <w:sz w:val="32"/>
          <w:szCs w:val="32"/>
          <w:lang w:eastAsia="zh-CN"/>
        </w:rPr>
        <w:t>淮北市科学技术协会（本级）</w:t>
      </w:r>
      <w:r>
        <w:rPr>
          <w:rFonts w:hint="eastAsia" w:ascii="TimesNewRoman" w:hAnsi="TimesNewRoman" w:eastAsia="仿宋_GB2312" w:cs="TimesNewRoman"/>
          <w:kern w:val="0"/>
          <w:sz w:val="32"/>
          <w:szCs w:val="32"/>
          <w:lang w:val="en-US" w:eastAsia="zh-CN"/>
        </w:rPr>
        <w:t>3</w:t>
      </w:r>
      <w:r>
        <w:rPr>
          <w:rFonts w:hint="eastAsia" w:ascii="TimesNewRoman" w:hAnsi="TimesNewRoman" w:eastAsia="仿宋_GB2312" w:cs="TimesNewRoman"/>
          <w:kern w:val="0"/>
          <w:sz w:val="32"/>
          <w:szCs w:val="32"/>
        </w:rPr>
        <w:t>个项目实行了绩效目标管理，涉及一般公共预算当年财政拨款</w:t>
      </w:r>
      <w:r>
        <w:rPr>
          <w:rFonts w:hint="eastAsia" w:ascii="TimesNewRoman" w:hAnsi="TimesNewRoman" w:eastAsia="仿宋_GB2312" w:cs="TimesNewRoman"/>
          <w:kern w:val="0"/>
          <w:sz w:val="32"/>
          <w:szCs w:val="32"/>
          <w:lang w:val="en-US" w:eastAsia="zh-CN"/>
        </w:rPr>
        <w:t>23.20</w:t>
      </w:r>
      <w:r>
        <w:rPr>
          <w:rFonts w:hint="eastAsia" w:ascii="TimesNewRoman" w:hAnsi="TimesNewRoman" w:eastAsia="仿宋_GB2312" w:cs="TimesNewRoman"/>
          <w:kern w:val="0"/>
          <w:sz w:val="32"/>
          <w:szCs w:val="32"/>
        </w:rPr>
        <w:t>万元、政府性基金预算当年财政拨款</w:t>
      </w:r>
      <w:r>
        <w:rPr>
          <w:rFonts w:hint="eastAsia" w:ascii="TimesNewRoman" w:hAnsi="TimesNewRoman" w:eastAsia="仿宋_GB2312" w:cs="TimesNewRoman"/>
          <w:kern w:val="0"/>
          <w:sz w:val="32"/>
          <w:szCs w:val="32"/>
          <w:lang w:val="en-US" w:eastAsia="zh-CN"/>
        </w:rPr>
        <w:t>0.00</w:t>
      </w:r>
      <w:r>
        <w:rPr>
          <w:rFonts w:hint="eastAsia" w:ascii="TimesNewRoman" w:hAnsi="TimesNewRoman" w:eastAsia="仿宋_GB2312" w:cs="TimesNewRoman"/>
          <w:kern w:val="0"/>
          <w:sz w:val="32"/>
          <w:szCs w:val="32"/>
        </w:rPr>
        <w:t>万元、财政专户管理资金当年安排</w:t>
      </w:r>
      <w:r>
        <w:rPr>
          <w:rFonts w:hint="eastAsia" w:ascii="TimesNewRoman" w:hAnsi="TimesNewRoman" w:eastAsia="仿宋_GB2312" w:cs="TimesNewRoman"/>
          <w:kern w:val="0"/>
          <w:sz w:val="32"/>
          <w:szCs w:val="32"/>
          <w:lang w:val="en-US" w:eastAsia="zh-CN"/>
        </w:rPr>
        <w:t>0.00</w:t>
      </w:r>
      <w:r>
        <w:rPr>
          <w:rFonts w:hint="eastAsia" w:ascii="TimesNewRoman" w:hAnsi="TimesNewRoman" w:eastAsia="仿宋_GB2312" w:cs="TimesNewRoman"/>
          <w:kern w:val="0"/>
          <w:sz w:val="32"/>
          <w:szCs w:val="32"/>
        </w:rPr>
        <w:t>万元。</w:t>
      </w:r>
    </w:p>
    <w:p w14:paraId="5DD772B8">
      <w:pPr>
        <w:pStyle w:val="5"/>
        <w:adjustRightInd w:val="0"/>
        <w:snapToGrid w:val="0"/>
        <w:spacing w:line="560" w:lineRule="exact"/>
        <w:jc w:val="center"/>
        <w:rPr>
          <w:rFonts w:ascii="TimesNewRoman" w:hAnsi="TimesNewRoman" w:eastAsia="黑体" w:cs="TimesNewRoman"/>
          <w:bCs/>
          <w:sz w:val="36"/>
          <w:szCs w:val="36"/>
        </w:rPr>
      </w:pPr>
      <w:r>
        <w:rPr>
          <w:rFonts w:hint="eastAsia" w:ascii="TimesNewRoman" w:hAnsi="TimesNewRoman" w:eastAsia="黑体" w:cs="TimesNewRoman"/>
          <w:bCs/>
          <w:sz w:val="36"/>
          <w:szCs w:val="36"/>
        </w:rPr>
        <w:t>第四部分 名词解释</w:t>
      </w:r>
    </w:p>
    <w:p w14:paraId="639A021E"/>
    <w:p w14:paraId="669E6F50">
      <w:pPr>
        <w:pStyle w:val="5"/>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一、财政拨款收入：</w:t>
      </w:r>
      <w:r>
        <w:rPr>
          <w:rFonts w:hint="eastAsia" w:ascii="TimesNewRoman" w:hAnsi="TimesNewRoman" w:eastAsia="仿宋_GB2312" w:cs="TimesNewRoman"/>
          <w:sz w:val="32"/>
          <w:szCs w:val="32"/>
        </w:rPr>
        <w:t>指部门或单位从同级财政部门取得的财政预算资金。</w:t>
      </w:r>
    </w:p>
    <w:p w14:paraId="317996D5">
      <w:pPr>
        <w:pStyle w:val="5"/>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二、事业收入：</w:t>
      </w:r>
      <w:r>
        <w:rPr>
          <w:rFonts w:hint="eastAsia" w:ascii="TimesNewRoman" w:hAnsi="TimesNewRoman" w:eastAsia="仿宋_GB2312" w:cs="TimesNewRoman"/>
          <w:sz w:val="32"/>
          <w:szCs w:val="32"/>
        </w:rPr>
        <w:t>指事业单位开展专业业务活动及辅助活动所取得的收入。</w:t>
      </w:r>
    </w:p>
    <w:p w14:paraId="0799DCFD">
      <w:pPr>
        <w:pStyle w:val="5"/>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三、财政专户管理资金：</w:t>
      </w:r>
      <w:r>
        <w:rPr>
          <w:rFonts w:hint="eastAsia" w:ascii="TimesNewRoman" w:hAnsi="TimesNewRoman" w:eastAsia="仿宋_GB2312" w:cs="TimesNewRoman"/>
          <w:sz w:val="32"/>
          <w:szCs w:val="32"/>
        </w:rPr>
        <w:t>指按照非税收入管理相关规定，纳入财政专户管理的教育收费等。</w:t>
      </w:r>
    </w:p>
    <w:p w14:paraId="2586310E">
      <w:pPr>
        <w:pStyle w:val="5"/>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四、事业单位经营收入：</w:t>
      </w:r>
      <w:r>
        <w:rPr>
          <w:rFonts w:hint="eastAsia" w:ascii="TimesNewRoman" w:hAnsi="TimesNewRoman" w:eastAsia="仿宋_GB2312" w:cs="TimesNewRoman"/>
          <w:sz w:val="32"/>
          <w:szCs w:val="32"/>
        </w:rPr>
        <w:t>指事业单位在专业业务活动及其辅助活动之外开展非独立核算经营活动取得的收入。</w:t>
      </w:r>
    </w:p>
    <w:p w14:paraId="56CC236F">
      <w:pPr>
        <w:pStyle w:val="5"/>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五、附属单位上缴收入：</w:t>
      </w:r>
      <w:r>
        <w:rPr>
          <w:rFonts w:hint="eastAsia" w:ascii="TimesNewRoman" w:hAnsi="TimesNewRoman" w:eastAsia="仿宋_GB2312" w:cs="TimesNewRoman"/>
          <w:sz w:val="32"/>
          <w:szCs w:val="32"/>
        </w:rPr>
        <w:t>本单位所属下级单位上缴给本单位的全部收入。</w:t>
      </w:r>
    </w:p>
    <w:p w14:paraId="76F6ABD1">
      <w:pPr>
        <w:pStyle w:val="5"/>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六、上年结转：</w:t>
      </w:r>
      <w:r>
        <w:rPr>
          <w:rFonts w:hint="eastAsia" w:ascii="TimesNewRoman" w:hAnsi="TimesNewRoman" w:eastAsia="仿宋_GB2312" w:cs="TimesNewRoman"/>
          <w:sz w:val="32"/>
          <w:szCs w:val="32"/>
        </w:rPr>
        <w:t>指以前年度安排、结转到本年仍按原用途继续使用的资金。</w:t>
      </w:r>
    </w:p>
    <w:p w14:paraId="2C5E5D6A">
      <w:pPr>
        <w:pStyle w:val="5"/>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七、结转下年：</w:t>
      </w:r>
      <w:r>
        <w:rPr>
          <w:rFonts w:hint="eastAsia" w:ascii="TimesNewRoman" w:hAnsi="TimesNewRoman" w:eastAsia="仿宋_GB2312" w:cs="TimesNewRoman"/>
          <w:sz w:val="32"/>
          <w:szCs w:val="32"/>
        </w:rPr>
        <w:t>指以前年度预算安排、因客观条件发生变化无法按原计划实施，需以后年度按原用途继续使用的资金。</w:t>
      </w:r>
    </w:p>
    <w:p w14:paraId="3B8D20C0">
      <w:pPr>
        <w:pStyle w:val="5"/>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八、基本支出：</w:t>
      </w:r>
      <w:r>
        <w:rPr>
          <w:rFonts w:hint="eastAsia" w:ascii="TimesNewRoman" w:hAnsi="TimesNewRoman" w:eastAsia="仿宋_GB2312" w:cs="TimesNewRoman"/>
          <w:sz w:val="32"/>
          <w:szCs w:val="32"/>
        </w:rPr>
        <w:t>指为保障机构正常运转、完成日常工作任务而发生的人员支出和公用支出。</w:t>
      </w:r>
    </w:p>
    <w:p w14:paraId="2F9DBC11">
      <w:pPr>
        <w:pStyle w:val="5"/>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九、项目支出：</w:t>
      </w:r>
      <w:r>
        <w:rPr>
          <w:rFonts w:hint="eastAsia" w:ascii="TimesNewRoman" w:hAnsi="TimesNewRoman" w:eastAsia="仿宋_GB2312" w:cs="TimesNewRoman"/>
          <w:sz w:val="32"/>
          <w:szCs w:val="32"/>
        </w:rPr>
        <w:t>指在除基本支出之外的支出，主要用于完成特定的工作任务和事业发展目标。</w:t>
      </w:r>
    </w:p>
    <w:p w14:paraId="2C28FF6C">
      <w:pPr>
        <w:pStyle w:val="5"/>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 xml:space="preserve">十、机关运行经费: </w:t>
      </w:r>
      <w:r>
        <w:rPr>
          <w:rFonts w:hint="eastAsia" w:ascii="TimesNewRoman" w:hAnsi="TimesNewRoman" w:eastAsia="仿宋_GB2312" w:cs="TimesNewRoman"/>
          <w:sz w:val="32"/>
          <w:szCs w:val="32"/>
        </w:rPr>
        <w:t>为保障行政单位（包括参照公务员法管理的事业单位）运行用于购买货物和服务的各项资金，包括办公及印刷费、邮电费、差旅费、会议费、福利费、日常维修费、一般设备购置费、办公用房水电费、办公用房取暖费、办公用房物业管理费、公务用车运行维护费以及其他费用。</w:t>
      </w:r>
    </w:p>
    <w:p w14:paraId="76B470FC"/>
    <w:p w14:paraId="27B22B06"/>
    <w:p w14:paraId="2EA483EC"/>
    <w:p w14:paraId="622998F3"/>
    <w:p w14:paraId="632EF478"/>
    <w:sectPr>
      <w:pgSz w:w="11906" w:h="16838"/>
      <w:pgMar w:top="1304" w:right="1134" w:bottom="1304" w:left="124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imesNewRoman">
    <w:altName w:val="Segoe Print"/>
    <w:panose1 w:val="00000000000000000000"/>
    <w:charset w:val="00"/>
    <w:family w:val="auto"/>
    <w:pitch w:val="default"/>
    <w:sig w:usb0="00000000" w:usb1="00000000" w:usb2="00000029" w:usb3="00000000" w:csb0="600001FF" w:csb1="FFFF0000"/>
  </w:font>
  <w:font w:name="Segoe Print">
    <w:panose1 w:val="02000600000000000000"/>
    <w:charset w:val="00"/>
    <w:family w:val="auto"/>
    <w:pitch w:val="default"/>
    <w:sig w:usb0="0000028F" w:usb1="00000000" w:usb2="00000000" w:usb3="00000000" w:csb0="2000009F" w:csb1="4701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Helvetica">
    <w:altName w:val="Aria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E907C4"/>
    <w:rsid w:val="000E28EE"/>
    <w:rsid w:val="00267E33"/>
    <w:rsid w:val="004A4DC6"/>
    <w:rsid w:val="0057562B"/>
    <w:rsid w:val="006546AF"/>
    <w:rsid w:val="00726D96"/>
    <w:rsid w:val="00740B10"/>
    <w:rsid w:val="008F6D1A"/>
    <w:rsid w:val="009168AC"/>
    <w:rsid w:val="009A3CA3"/>
    <w:rsid w:val="00AE3242"/>
    <w:rsid w:val="00B964EC"/>
    <w:rsid w:val="00BD640A"/>
    <w:rsid w:val="00DB2A5C"/>
    <w:rsid w:val="00E907C4"/>
    <w:rsid w:val="00EC7755"/>
    <w:rsid w:val="00F45ECB"/>
    <w:rsid w:val="00F974AD"/>
    <w:rsid w:val="06D95176"/>
    <w:rsid w:val="06EE2458"/>
    <w:rsid w:val="08C47915"/>
    <w:rsid w:val="0D815DD4"/>
    <w:rsid w:val="12D90460"/>
    <w:rsid w:val="1C607560"/>
    <w:rsid w:val="1CB8469A"/>
    <w:rsid w:val="1CE65C54"/>
    <w:rsid w:val="24995299"/>
    <w:rsid w:val="264A72B3"/>
    <w:rsid w:val="323A2127"/>
    <w:rsid w:val="3A4D6EBA"/>
    <w:rsid w:val="3B575BD9"/>
    <w:rsid w:val="3ED731F7"/>
    <w:rsid w:val="3EEF3FE1"/>
    <w:rsid w:val="438253CD"/>
    <w:rsid w:val="467D0B27"/>
    <w:rsid w:val="4CE4545C"/>
    <w:rsid w:val="58501BF8"/>
    <w:rsid w:val="61AD00BB"/>
    <w:rsid w:val="6D721B61"/>
    <w:rsid w:val="77112A42"/>
    <w:rsid w:val="7D2057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qFormat/>
    <w:uiPriority w:val="99"/>
    <w:pPr>
      <w:spacing w:after="120" w:line="480" w:lineRule="auto"/>
      <w:ind w:left="420" w:leftChars="200"/>
    </w:pPr>
  </w:style>
  <w:style w:type="paragraph" w:styleId="3">
    <w:name w:val="footer"/>
    <w:basedOn w:val="1"/>
    <w:link w:val="9"/>
    <w:semiHidden/>
    <w:unhideWhenUsed/>
    <w:uiPriority w:val="99"/>
    <w:pPr>
      <w:tabs>
        <w:tab w:val="center" w:pos="4153"/>
        <w:tab w:val="right" w:pos="8306"/>
      </w:tabs>
      <w:snapToGrid w:val="0"/>
      <w:jc w:val="left"/>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8">
    <w:name w:val="页眉 Char"/>
    <w:basedOn w:val="7"/>
    <w:link w:val="4"/>
    <w:semiHidden/>
    <w:qFormat/>
    <w:uiPriority w:val="99"/>
    <w:rPr>
      <w:sz w:val="18"/>
      <w:szCs w:val="18"/>
    </w:rPr>
  </w:style>
  <w:style w:type="character" w:customStyle="1" w:styleId="9">
    <w:name w:val="页脚 Char"/>
    <w:basedOn w:val="7"/>
    <w:link w:val="3"/>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22</Pages>
  <Words>6532</Words>
  <Characters>7349</Characters>
  <Lines>46</Lines>
  <Paragraphs>13</Paragraphs>
  <TotalTime>0</TotalTime>
  <ScaleCrop>false</ScaleCrop>
  <LinksUpToDate>false</LinksUpToDate>
  <CharactersWithSpaces>7579</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2023-01-30T01:51:00Z</dcterms:created>
  <dc:creator>lenovo</dc:creator>
  <cp:lastModifiedBy>陈啸</cp:lastModifiedBy>
  <dcterms:modified xsi:type="dcterms:W3CDTF">2025-02-10T02:53:54Z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eyJoZGlkIjoiYWQ3MTk1ZDE0OTg5M2M5N2I3YTgxNDRiOTZjMmE5Y2YiLCJ1c2VySWQiOiI2NTY0NDYwOTcifQ==</vt:lpwstr>
  </property>
  <property fmtid="{D5CDD505-2E9C-101B-9397-08002B2CF9AE}" pid="3" name="KSOProductBuildVer">
    <vt:lpwstr>2052-12.1.0.19770</vt:lpwstr>
  </property>
  <property fmtid="{D5CDD505-2E9C-101B-9397-08002B2CF9AE}" pid="4" name="ICV">
    <vt:lpwstr>67D0E90EE540410ABC5B0E097822D82F_12</vt:lpwstr>
  </property>
</Properties>
</file>